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charts/chart4.xml" ContentType="application/vnd.openxmlformats-officedocument.drawingml.chart+xml"/>
  <Override PartName="/word/theme/theme1.xml" ContentType="application/vnd.openxmlformats-officedocument.theme+xml"/>
  <Override PartName="/word/header2.xml" ContentType="application/vnd.openxmlformats-officedocument.wordprocessingml.header+xml"/>
  <Override PartName="/word/charts/chart2.xml" ContentType="application/vnd.openxmlformats-officedocument.drawingml.chart+xml"/>
  <Override PartName="/word/charts/chart3.xml" ContentType="application/vnd.openxmlformats-officedocument.drawingml.chart+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2D5C" w:rsidRDefault="00563C25" w:rsidP="002C2D5C">
      <w:pPr>
        <w:pStyle w:val="BodyText"/>
        <w:jc w:val="both"/>
      </w:pPr>
      <w:bookmarkStart w:id="0" w:name="Undo_AECOM_Insert_Table_09x25z44"/>
      <w:bookmarkEnd w:id="0"/>
      <w:r>
        <w:rPr>
          <w:noProof/>
        </w:rPr>
        <w:drawing>
          <wp:anchor distT="0" distB="0" distL="114300" distR="114300" simplePos="0" relativeHeight="251658239" behindDoc="1" locked="0" layoutInCell="1" allowOverlap="1">
            <wp:simplePos x="0" y="0"/>
            <wp:positionH relativeFrom="page">
              <wp:posOffset>0</wp:posOffset>
            </wp:positionH>
            <wp:positionV relativeFrom="paragraph">
              <wp:posOffset>-712139</wp:posOffset>
            </wp:positionV>
            <wp:extent cx="7560310" cy="3728720"/>
            <wp:effectExtent l="0" t="0" r="2540" b="508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7561892" cy="3729500"/>
                    </a:xfrm>
                    <a:prstGeom prst="rect">
                      <a:avLst/>
                    </a:prstGeom>
                  </pic:spPr>
                </pic:pic>
              </a:graphicData>
            </a:graphic>
          </wp:anchor>
        </w:drawing>
      </w:r>
      <w:r w:rsidR="002C2D5C">
        <w:rPr>
          <w:noProof/>
        </w:rPr>
        <w:drawing>
          <wp:anchor distT="0" distB="0" distL="114300" distR="114300" simplePos="0" relativeHeight="251663360" behindDoc="0" locked="0" layoutInCell="1" allowOverlap="1">
            <wp:simplePos x="0" y="0"/>
            <wp:positionH relativeFrom="rightMargin">
              <wp:posOffset>-1043940</wp:posOffset>
            </wp:positionH>
            <wp:positionV relativeFrom="page">
              <wp:posOffset>360045</wp:posOffset>
            </wp:positionV>
            <wp:extent cx="1620000" cy="238320"/>
            <wp:effectExtent l="0" t="0" r="0" b="9525"/>
            <wp:wrapNone/>
            <wp:docPr id="9" name="AECOMLogo" descr="aecom_imagineit_reverse_1mm_border_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ECOMLogo" descr="aecom_imagineit_reverse_1mm_border_v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20000" cy="238320"/>
                    </a:xfrm>
                    <a:prstGeom prst="rect">
                      <a:avLst/>
                    </a:prstGeom>
                    <a:noFill/>
                  </pic:spPr>
                </pic:pic>
              </a:graphicData>
            </a:graphic>
          </wp:anchor>
        </w:drawing>
      </w:r>
      <w:r w:rsidR="00610633">
        <w:rPr>
          <w:noProof/>
        </w:rPr>
        <w:t>f</w:t>
      </w:r>
      <w:r w:rsidR="002C2D5C">
        <w:rPr>
          <w:noProof/>
        </w:rPr>
        <w:t>[</w:t>
      </w:r>
      <w:r w:rsidR="002C2D5C" w:rsidRPr="002D18ED">
        <w:rPr>
          <w:noProof/>
        </w:rPr>
        <w:t xml:space="preserve"> </w:t>
      </w:r>
    </w:p>
    <w:p w:rsidR="002C2D5C" w:rsidRDefault="001A69AC" w:rsidP="002C2D5C">
      <w:pPr>
        <w:pStyle w:val="BodyText"/>
        <w:jc w:val="both"/>
      </w:pPr>
      <w:r>
        <w:rPr>
          <w:noProof/>
        </w:rPr>
        <w:pict>
          <v:shape id="CoverLowerHalfBlue" o:spid="_x0000_s1026" style="position:absolute;left:0;text-align:left;margin-left:1099.4pt;margin-top:134.25pt;width:595.3pt;height:707.35pt;z-index:-251652609;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coordsize="8186652,6883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" o:allowincell="f" path="m8174978,6879381l5720,6883651c12642,4584614,-5303,2299037,1619,l8186652,1518580e" fillcolor="#00b5e2 [3204]" stroked="f" strokeweight="2pt">
            <v:path arrowok="t" o:connecttype="custom" o:connectlocs="7549529,8977773;5282,8983345;1495,0;7560310,1981787" o:connectangles="0,0,0,0"/>
            <w10:wrap anchorx="page" anchory="page"/>
          </v:shape>
        </w:pict>
      </w:r>
      <w:r>
        <w:rPr>
          <w:noProof/>
        </w:rPr>
        <w:pict>
          <v:shapetype id="_x0000_t202" coordsize="21600,21600" o:spt="202" path="m,l,21600r21600,l21600,xe">
            <v:stroke joinstyle="miter"/>
            <v:path gradientshapeok="t" o:connecttype="rect"/>
          </v:shapetype>
          <v:shape id="CoverFooterBox" o:spid="_x0000_s1029" type="#_x0000_t202" style="position:absolute;left:0;text-align:left;margin-left:0;margin-top:0;width:451.3pt;height:106.65pt;z-index:251659264;visibility:visible;mso-position-vertical:bottom;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" o:allowincell="f" filled="f" stroked="f">
            <v:textbox inset="0,0,0,1mm">
              <w:txbxContent>
                <w:tbl>
                  <w:tblPr>
                    <w:tblStyle w:val="Plaingrid"/>
                    <w:tblW w:w="4950" w:type="pct"/>
                    <w:tblLook w:val="04A0"/>
                  </w:tblPr>
                  <w:tblGrid>
                    <w:gridCol w:w="2630"/>
                    <w:gridCol w:w="2889"/>
                    <w:gridCol w:w="3539"/>
                  </w:tblGrid>
                  <w:tr w:rsidR="004747C5" w:rsidRPr="005A1F44" w:rsidTr="00606621">
                    <w:trPr>
                      <w:trHeight w:val="1554"/>
                    </w:trPr>
                    <w:tc>
                      <w:tcPr>
                        <w:tcW w:w="2635" w:type="dxa"/>
                        <w:vAlign w:val="bottom"/>
                      </w:tcPr>
                      <w:bookmarkStart w:id="1" w:name="Cover3" w:colFirst="0" w:colLast="2"/>
                      <w:bookmarkStart w:id="2" w:name="CoverTable2"/>
                      <w:p w:rsidR="004747C5" w:rsidRPr="005A1F44" w:rsidRDefault="004747C5" w:rsidP="00C378B2">
                        <w:pPr>
                          <w:pStyle w:val="Coverfooter"/>
                        </w:pPr>
                        <w:r w:rsidRPr="005A1F44">
                          <w:fldChar w:fldCharType="begin"/>
                        </w:r>
                        <w:r w:rsidRPr="005A1F44">
                          <w:instrText xml:space="preserve"> DOCPROPERTY  FooterClientAddress \* MERGEFORMAT </w:instrText>
                        </w:r>
                        <w:r w:rsidRPr="005A1F44">
                          <w:fldChar w:fldCharType="end"/>
                        </w:r>
                      </w:p>
                    </w:tc>
                    <w:tc>
                      <w:tcPr>
                        <w:tcW w:w="2894" w:type="dxa"/>
                        <w:vAlign w:val="bottom"/>
                      </w:tcPr>
                      <w:p w:rsidR="004747C5" w:rsidRPr="005A1F44" w:rsidRDefault="004747C5" w:rsidP="00C378B2">
                        <w:pPr>
                          <w:pStyle w:val="Coverfooter"/>
                        </w:pPr>
                        <w:r w:rsidRPr="005A1F44">
                          <w:fldChar w:fldCharType="begin"/>
                        </w:r>
                        <w:r w:rsidRPr="005A1F44">
                          <w:instrText xml:space="preserve"> DOCPROPERTY  ProtectiveMarking \* MERGEFORMAT </w:instrText>
                        </w:r>
                        <w:r w:rsidRPr="005A1F44">
                          <w:fldChar w:fldCharType="end"/>
                        </w:r>
                      </w:p>
                      <w:p w:rsidR="004747C5" w:rsidRPr="005A1F44" w:rsidRDefault="004747C5" w:rsidP="00C378B2">
                        <w:pPr>
                          <w:pStyle w:val="Coverfooter"/>
                        </w:pPr>
                        <w:r w:rsidRPr="005A1F44">
                          <w:fldChar w:fldCharType="begin"/>
                        </w:r>
                        <w:r w:rsidRPr="005A1F44">
                          <w:instrText xml:space="preserve"> DOCPROPERTY  Copies \* MERGEFORMAT </w:instrText>
                        </w:r>
                        <w:r w:rsidRPr="005A1F44">
                          <w:fldChar w:fldCharType="end"/>
                        </w:r>
                      </w:p>
                    </w:tc>
                    <w:tc>
                      <w:tcPr>
                        <w:tcW w:w="3545" w:type="dxa"/>
                        <w:vAlign w:val="bottom"/>
                      </w:tcPr>
                      <w:p w:rsidR="004747C5" w:rsidRPr="005A1F44" w:rsidRDefault="004747C5" w:rsidP="00C378B2">
                        <w:pPr>
                          <w:pStyle w:val="Coverfooter"/>
                        </w:pPr>
                      </w:p>
                      <w:p w:rsidR="004747C5" w:rsidRPr="005A1F44" w:rsidRDefault="004747C5" w:rsidP="00C378B2">
                        <w:pPr>
                          <w:pStyle w:val="Coverfooter"/>
                        </w:pPr>
                      </w:p>
                      <w:p w:rsidR="004747C5" w:rsidRPr="005A1F44" w:rsidRDefault="004747C5" w:rsidP="00C378B2">
                        <w:pPr>
                          <w:pStyle w:val="Coverfooter"/>
                        </w:pPr>
                      </w:p>
                    </w:tc>
                  </w:tr>
                  <w:bookmarkEnd w:id="1"/>
                  <w:bookmarkEnd w:id="2"/>
                </w:tbl>
                <w:p w:rsidR="004747C5" w:rsidRDefault="004747C5" w:rsidP="002C2D5C"/>
              </w:txbxContent>
            </v:textbox>
            <w10:wrap anchory="page"/>
          </v:shape>
        </w:pict>
      </w:r>
      <w:r>
        <w:rPr>
          <w:noProof/>
        </w:rPr>
        <w:pict>
          <v:shape id="CoverTitleBox" o:spid="_x0000_s1027" type="#_x0000_t202" style="position:absolute;left:0;text-align:left;margin-left:0;margin-top:315.7pt;width:451.3pt;height:242.65pt;z-index:251660288;visibility:visible;mso-height-percent:500;mso-position-horizontal-relative:margin;mso-position-vertical-relative:page;mso-height-percent:50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" o:allowincell="f" filled="f" stroked="f">
            <v:textbox inset="0,0,0,1mm">
              <w:txbxContent>
                <w:tbl>
                  <w:tblPr>
                    <w:tblStyle w:val="Plaingrid"/>
                    <w:tblW w:w="3500" w:type="pct"/>
                    <w:tblLook w:val="04A0"/>
                  </w:tblPr>
                  <w:tblGrid>
                    <w:gridCol w:w="6404"/>
                  </w:tblGrid>
                  <w:tr w:rsidR="004747C5" w:rsidRPr="005A1F44" w:rsidTr="00E7679A">
                    <w:trPr>
                      <w:trHeight w:val="3547"/>
                    </w:trPr>
                    <w:tc>
                      <w:tcPr>
                        <w:tcW w:w="8132" w:type="dxa"/>
                      </w:tcPr>
                      <w:p w:rsidR="004747C5" w:rsidRDefault="004747C5" w:rsidP="00C378B2">
                        <w:pPr>
                          <w:pStyle w:val="Title"/>
                        </w:pPr>
                        <w:bookmarkStart w:id="3" w:name="Cover1" w:colFirst="0" w:colLast="1"/>
                        <w:bookmarkStart w:id="4" w:name="CoverTable1"/>
                        <w:r>
                          <w:t>Reedham</w:t>
                        </w:r>
                      </w:p>
                      <w:p w:rsidR="004747C5" w:rsidRPr="005A1F44" w:rsidRDefault="004747C5" w:rsidP="00C378B2">
                        <w:pPr>
                          <w:pStyle w:val="Title"/>
                        </w:pPr>
                        <w:r>
                          <w:t>Housing Needs Assessment (HNA)</w:t>
                        </w:r>
                      </w:p>
                      <w:p w:rsidR="004747C5" w:rsidRPr="005A1F44" w:rsidRDefault="004747C5" w:rsidP="00C378B2">
                        <w:pPr>
                          <w:pStyle w:val="Subtitleheading"/>
                        </w:pPr>
                        <w:r w:rsidRPr="005A1F44">
                          <w:fldChar w:fldCharType="begin"/>
                        </w:r>
                        <w:r w:rsidRPr="005A1F44">
                          <w:instrText xml:space="preserve"> DOCPROPERTY  SubTitle \* MERGEFORMAT </w:instrText>
                        </w:r>
                        <w:r w:rsidRPr="005A1F44">
                          <w:fldChar w:fldCharType="end"/>
                        </w:r>
                      </w:p>
                      <w:p w:rsidR="004747C5" w:rsidRPr="005A1F44" w:rsidRDefault="004747C5" w:rsidP="00C378B2">
                        <w:pPr>
                          <w:pStyle w:val="Subtitleheading"/>
                        </w:pPr>
                        <w:r w:rsidRPr="005A1F44">
                          <w:fldChar w:fldCharType="begin"/>
                        </w:r>
                        <w:r w:rsidRPr="005A1F44">
                          <w:instrText xml:space="preserve"> DOCPROPERTY  SupplementaryTitle \* MERGEFORMAT </w:instrText>
                        </w:r>
                        <w:r w:rsidRPr="005A1F44">
                          <w:fldChar w:fldCharType="end"/>
                        </w:r>
                      </w:p>
                      <w:p w:rsidR="004747C5" w:rsidRPr="005A1F44" w:rsidRDefault="004747C5" w:rsidP="00C378B2"/>
                      <w:p w:rsidR="004747C5" w:rsidRPr="005A1F44" w:rsidRDefault="004747C5" w:rsidP="00C378B2">
                        <w:pPr>
                          <w:pStyle w:val="Subtitleheading"/>
                        </w:pPr>
                        <w:r w:rsidRPr="005A1F44">
                          <w:fldChar w:fldCharType="begin"/>
                        </w:r>
                        <w:r w:rsidRPr="005A1F44">
                          <w:instrText xml:space="preserve"> DOCPROPERTY  ClientName \* MERGEFORMAT </w:instrText>
                        </w:r>
                        <w:r w:rsidRPr="005A1F44">
                          <w:fldChar w:fldCharType="end"/>
                        </w:r>
                      </w:p>
                      <w:p w:rsidR="004747C5" w:rsidRPr="005A1F44" w:rsidRDefault="004747C5" w:rsidP="00C378B2">
                        <w:pPr>
                          <w:pStyle w:val="Subtitle"/>
                        </w:pPr>
                        <w:r w:rsidRPr="005A1F44">
                          <w:fldChar w:fldCharType="begin"/>
                        </w:r>
                        <w:r w:rsidRPr="005A1F44">
                          <w:instrText xml:space="preserve"> DOCPROPERTY  TenderStage \* MERGEFORMAT </w:instrText>
                        </w:r>
                        <w:r w:rsidRPr="005A1F44">
                          <w:fldChar w:fldCharType="end"/>
                        </w:r>
                      </w:p>
                      <w:p w:rsidR="004747C5" w:rsidRPr="005A1F44" w:rsidRDefault="004747C5" w:rsidP="00C378B2"/>
                      <w:p w:rsidR="004747C5" w:rsidRPr="005A1F44" w:rsidRDefault="004747C5" w:rsidP="00C378B2">
                        <w:pPr>
                          <w:pStyle w:val="Coverfooter"/>
                        </w:pPr>
                        <w:fldSimple w:instr=" DOCPROPERTY  ProjectRef \* MERGEFORMAT ">
                          <w:r>
                            <w:t xml:space="preserve"> </w:t>
                          </w:r>
                        </w:fldSimple>
                      </w:p>
                      <w:p w:rsidR="004747C5" w:rsidRPr="005A1F44" w:rsidRDefault="004747C5" w:rsidP="00C378B2">
                        <w:pPr>
                          <w:pStyle w:val="Coverfooter"/>
                        </w:pPr>
                        <w:fldSimple w:instr=" DOCPROPERTY  ProjectNumber \* MERGEFORMAT ">
                          <w:r>
                            <w:t xml:space="preserve"> </w:t>
                          </w:r>
                        </w:fldSimple>
                      </w:p>
                      <w:p w:rsidR="004747C5" w:rsidRPr="005A1F44" w:rsidRDefault="004747C5" w:rsidP="00C378B2">
                        <w:pPr>
                          <w:pStyle w:val="Coverfooter"/>
                        </w:pPr>
                        <w:r w:rsidRPr="005A1F44">
                          <w:fldChar w:fldCharType="begin"/>
                        </w:r>
                        <w:r w:rsidRPr="005A1F44">
                          <w:instrText xml:space="preserve"> DOCPROPERTY  DocumentReference \* MERGEFORMAT </w:instrText>
                        </w:r>
                        <w:r w:rsidRPr="005A1F44">
                          <w:fldChar w:fldCharType="end"/>
                        </w:r>
                      </w:p>
                      <w:p w:rsidR="004747C5" w:rsidRPr="005A1F44" w:rsidRDefault="004747C5" w:rsidP="00C378B2">
                        <w:pPr>
                          <w:pStyle w:val="Coverfooter"/>
                        </w:pPr>
                      </w:p>
                      <w:p w:rsidR="004747C5" w:rsidRPr="005A1F44" w:rsidRDefault="004747C5" w:rsidP="00C378B2">
                        <w:pPr>
                          <w:pStyle w:val="Coverfooter"/>
                        </w:pPr>
                        <w:r>
                          <w:t>February 2020</w:t>
                        </w:r>
                      </w:p>
                    </w:tc>
                  </w:tr>
                  <w:bookmarkEnd w:id="3"/>
                  <w:bookmarkEnd w:id="4"/>
                </w:tbl>
                <w:p w:rsidR="004747C5" w:rsidRDefault="004747C5" w:rsidP="002C2D5C"/>
              </w:txbxContent>
            </v:textbox>
            <w10:wrap anchorx="margin" anchory="page"/>
          </v:shape>
        </w:pict>
      </w:r>
    </w:p>
    <w:p w:rsidR="002C2D5C" w:rsidRDefault="002C2D5C" w:rsidP="002C2D5C">
      <w:pPr>
        <w:pStyle w:val="BodyText"/>
        <w:jc w:val="both"/>
        <w:sectPr w:rsidR="002C2D5C" w:rsidSect="004E43B0">
          <w:pgSz w:w="11906" w:h="16838" w:code="9"/>
          <w:pgMar w:top="1134" w:right="1440" w:bottom="851" w:left="1440" w:header="709" w:footer="284" w:gutter="0"/>
          <w:cols w:space="708"/>
          <w:docGrid w:linePitch="360"/>
        </w:sectPr>
      </w:pPr>
    </w:p>
    <w:p w:rsidR="002C2D5C" w:rsidRDefault="002C2D5C" w:rsidP="002C2D5C">
      <w:pPr>
        <w:pStyle w:val="Heading"/>
        <w:jc w:val="both"/>
      </w:pPr>
      <w:bookmarkStart w:id="5" w:name="Text_QualityInformation"/>
    </w:p>
    <w:p w:rsidR="002C2D5C" w:rsidRPr="00542F08" w:rsidRDefault="002C2D5C" w:rsidP="002C2D5C">
      <w:pPr>
        <w:pStyle w:val="Heading"/>
        <w:jc w:val="both"/>
      </w:pPr>
      <w:r>
        <w:t>Quality information</w:t>
      </w:r>
      <w:bookmarkEnd w:id="5"/>
    </w:p>
    <w:tbl>
      <w:tblPr>
        <w:tblStyle w:val="AECOMtable"/>
        <w:tblW w:w="4950" w:type="pct"/>
        <w:tblLook w:val="04A0"/>
      </w:tblPr>
      <w:tblGrid>
        <w:gridCol w:w="2552"/>
        <w:gridCol w:w="425"/>
        <w:gridCol w:w="2835"/>
        <w:gridCol w:w="425"/>
        <w:gridCol w:w="2811"/>
      </w:tblGrid>
      <w:tr w:rsidR="002C2D5C" w:rsidRPr="004B77D6" w:rsidTr="00C378B2">
        <w:trPr>
          <w:cnfStyle w:val="100000000000"/>
        </w:trPr>
        <w:tc>
          <w:tcPr>
            <w:tcW w:w="2552" w:type="dxa"/>
          </w:tcPr>
          <w:p w:rsidR="002C2D5C" w:rsidRPr="004B77D6" w:rsidRDefault="002C2D5C" w:rsidP="00C378B2">
            <w:pPr>
              <w:pStyle w:val="Tabletext"/>
              <w:jc w:val="both"/>
              <w:rPr>
                <w:sz w:val="18"/>
                <w:szCs w:val="18"/>
              </w:rPr>
            </w:pPr>
            <w:bookmarkStart w:id="6" w:name="Text_PreparedBy"/>
            <w:r w:rsidRPr="004B77D6">
              <w:rPr>
                <w:sz w:val="18"/>
                <w:szCs w:val="18"/>
              </w:rPr>
              <w:t>Prepared by</w:t>
            </w:r>
            <w:bookmarkEnd w:id="6"/>
          </w:p>
        </w:tc>
        <w:tc>
          <w:tcPr>
            <w:tcW w:w="425" w:type="dxa"/>
            <w:tcBorders>
              <w:bottom w:val="nil"/>
            </w:tcBorders>
          </w:tcPr>
          <w:p w:rsidR="002C2D5C" w:rsidRPr="004B77D6" w:rsidRDefault="002C2D5C" w:rsidP="00C378B2">
            <w:pPr>
              <w:pStyle w:val="Tabletext"/>
              <w:jc w:val="both"/>
              <w:rPr>
                <w:sz w:val="18"/>
                <w:szCs w:val="18"/>
              </w:rPr>
            </w:pPr>
          </w:p>
        </w:tc>
        <w:tc>
          <w:tcPr>
            <w:tcW w:w="2835" w:type="dxa"/>
          </w:tcPr>
          <w:p w:rsidR="002C2D5C" w:rsidRPr="004B77D6" w:rsidRDefault="002C2D5C" w:rsidP="00C378B2">
            <w:pPr>
              <w:pStyle w:val="Tabletext"/>
              <w:jc w:val="both"/>
              <w:rPr>
                <w:sz w:val="18"/>
                <w:szCs w:val="18"/>
              </w:rPr>
            </w:pPr>
            <w:bookmarkStart w:id="7" w:name="Text_CheckedBy"/>
            <w:r w:rsidRPr="004B77D6">
              <w:rPr>
                <w:sz w:val="18"/>
                <w:szCs w:val="18"/>
              </w:rPr>
              <w:t>Checked by</w:t>
            </w:r>
            <w:bookmarkEnd w:id="7"/>
          </w:p>
        </w:tc>
        <w:tc>
          <w:tcPr>
            <w:tcW w:w="425" w:type="dxa"/>
            <w:tcBorders>
              <w:bottom w:val="nil"/>
            </w:tcBorders>
          </w:tcPr>
          <w:p w:rsidR="002C2D5C" w:rsidRPr="004B77D6" w:rsidRDefault="002C2D5C" w:rsidP="00C378B2">
            <w:pPr>
              <w:pStyle w:val="Tabletext"/>
              <w:jc w:val="both"/>
              <w:rPr>
                <w:sz w:val="18"/>
                <w:szCs w:val="18"/>
              </w:rPr>
            </w:pPr>
          </w:p>
        </w:tc>
        <w:tc>
          <w:tcPr>
            <w:tcW w:w="2811" w:type="dxa"/>
          </w:tcPr>
          <w:p w:rsidR="002C2D5C" w:rsidRPr="004B77D6" w:rsidRDefault="002C2D5C" w:rsidP="00C378B2">
            <w:pPr>
              <w:pStyle w:val="Tabletext"/>
              <w:jc w:val="both"/>
              <w:rPr>
                <w:sz w:val="18"/>
                <w:szCs w:val="18"/>
              </w:rPr>
            </w:pPr>
            <w:bookmarkStart w:id="8" w:name="Text_ApprovedBy"/>
            <w:r w:rsidRPr="004B77D6">
              <w:rPr>
                <w:sz w:val="18"/>
                <w:szCs w:val="18"/>
              </w:rPr>
              <w:t>Approved by</w:t>
            </w:r>
            <w:bookmarkEnd w:id="8"/>
          </w:p>
        </w:tc>
      </w:tr>
      <w:tr w:rsidR="002C2D5C" w:rsidRPr="004B77D6" w:rsidTr="00C378B2">
        <w:tc>
          <w:tcPr>
            <w:tcW w:w="2552" w:type="dxa"/>
          </w:tcPr>
          <w:p w:rsidR="002C2D5C" w:rsidRDefault="00FF3107" w:rsidP="00C378B2">
            <w:pPr>
              <w:pStyle w:val="Tabletext"/>
              <w:jc w:val="both"/>
              <w:rPr>
                <w:sz w:val="18"/>
                <w:szCs w:val="18"/>
              </w:rPr>
            </w:pPr>
            <w:r>
              <w:rPr>
                <w:sz w:val="18"/>
                <w:szCs w:val="18"/>
              </w:rPr>
              <w:t>Elena Butterworth</w:t>
            </w:r>
          </w:p>
          <w:p w:rsidR="00FF3107" w:rsidRPr="004B77D6" w:rsidRDefault="00FF3107" w:rsidP="00C378B2">
            <w:pPr>
              <w:pStyle w:val="Tabletext"/>
              <w:jc w:val="both"/>
              <w:rPr>
                <w:sz w:val="18"/>
                <w:szCs w:val="18"/>
              </w:rPr>
            </w:pPr>
            <w:r>
              <w:rPr>
                <w:sz w:val="18"/>
                <w:szCs w:val="18"/>
              </w:rPr>
              <w:t>Graduate Planner</w:t>
            </w:r>
          </w:p>
        </w:tc>
        <w:tc>
          <w:tcPr>
            <w:tcW w:w="425" w:type="dxa"/>
            <w:tcBorders>
              <w:top w:val="nil"/>
              <w:bottom w:val="nil"/>
            </w:tcBorders>
          </w:tcPr>
          <w:p w:rsidR="002C2D5C" w:rsidRPr="004B77D6" w:rsidRDefault="002C2D5C" w:rsidP="00C378B2">
            <w:pPr>
              <w:pStyle w:val="Tabletext"/>
              <w:jc w:val="both"/>
              <w:rPr>
                <w:sz w:val="18"/>
                <w:szCs w:val="18"/>
              </w:rPr>
            </w:pPr>
          </w:p>
        </w:tc>
        <w:tc>
          <w:tcPr>
            <w:tcW w:w="2835" w:type="dxa"/>
          </w:tcPr>
          <w:p w:rsidR="002C2D5C" w:rsidRDefault="00FF3107" w:rsidP="00C378B2">
            <w:pPr>
              <w:pStyle w:val="Tabletext"/>
              <w:jc w:val="both"/>
              <w:rPr>
                <w:sz w:val="18"/>
                <w:szCs w:val="18"/>
              </w:rPr>
            </w:pPr>
            <w:r>
              <w:rPr>
                <w:sz w:val="18"/>
                <w:szCs w:val="18"/>
              </w:rPr>
              <w:t>Paul Avery</w:t>
            </w:r>
          </w:p>
          <w:p w:rsidR="00FF3107" w:rsidRPr="004B77D6" w:rsidRDefault="00FF3107" w:rsidP="00C378B2">
            <w:pPr>
              <w:pStyle w:val="Tabletext"/>
              <w:jc w:val="both"/>
              <w:rPr>
                <w:sz w:val="18"/>
                <w:szCs w:val="18"/>
              </w:rPr>
            </w:pPr>
            <w:r>
              <w:rPr>
                <w:sz w:val="18"/>
                <w:szCs w:val="18"/>
              </w:rPr>
              <w:t>Housing Research Consultant</w:t>
            </w:r>
          </w:p>
        </w:tc>
        <w:tc>
          <w:tcPr>
            <w:tcW w:w="425" w:type="dxa"/>
            <w:tcBorders>
              <w:top w:val="nil"/>
              <w:bottom w:val="nil"/>
            </w:tcBorders>
          </w:tcPr>
          <w:p w:rsidR="002C2D5C" w:rsidRPr="004B77D6" w:rsidRDefault="002C2D5C" w:rsidP="00C378B2">
            <w:pPr>
              <w:pStyle w:val="Tabletext"/>
              <w:jc w:val="both"/>
              <w:rPr>
                <w:sz w:val="18"/>
                <w:szCs w:val="18"/>
              </w:rPr>
            </w:pPr>
          </w:p>
        </w:tc>
        <w:tc>
          <w:tcPr>
            <w:tcW w:w="2811" w:type="dxa"/>
          </w:tcPr>
          <w:p w:rsidR="00FF3107" w:rsidRPr="00FF3107" w:rsidRDefault="00FF3107" w:rsidP="00FF3107">
            <w:pPr>
              <w:pStyle w:val="Tabletext"/>
              <w:jc w:val="both"/>
              <w:rPr>
                <w:sz w:val="18"/>
                <w:szCs w:val="18"/>
              </w:rPr>
            </w:pPr>
            <w:r w:rsidRPr="00FF3107">
              <w:rPr>
                <w:sz w:val="18"/>
                <w:szCs w:val="18"/>
              </w:rPr>
              <w:t>Paul Avery</w:t>
            </w:r>
          </w:p>
          <w:p w:rsidR="002C2D5C" w:rsidRPr="004B77D6" w:rsidRDefault="00FF3107" w:rsidP="00FF3107">
            <w:pPr>
              <w:pStyle w:val="Tabletext"/>
              <w:jc w:val="both"/>
              <w:rPr>
                <w:sz w:val="18"/>
                <w:szCs w:val="18"/>
              </w:rPr>
            </w:pPr>
            <w:r w:rsidRPr="00FF3107">
              <w:rPr>
                <w:sz w:val="18"/>
                <w:szCs w:val="18"/>
              </w:rPr>
              <w:t>Housing Research Consultant</w:t>
            </w:r>
            <w:r w:rsidRPr="00FF3107" w:rsidDel="00FF3107">
              <w:rPr>
                <w:sz w:val="18"/>
                <w:szCs w:val="18"/>
              </w:rPr>
              <w:t xml:space="preserve"> </w:t>
            </w:r>
          </w:p>
        </w:tc>
      </w:tr>
      <w:tr w:rsidR="002C2D5C" w:rsidRPr="004B77D6" w:rsidTr="00C378B2">
        <w:tc>
          <w:tcPr>
            <w:tcW w:w="2552" w:type="dxa"/>
          </w:tcPr>
          <w:p w:rsidR="002C2D5C" w:rsidRPr="004B77D6" w:rsidRDefault="002C2D5C" w:rsidP="00C378B2">
            <w:pPr>
              <w:pStyle w:val="Tabletext"/>
              <w:jc w:val="both"/>
              <w:rPr>
                <w:sz w:val="18"/>
                <w:szCs w:val="18"/>
              </w:rPr>
            </w:pPr>
            <w:bookmarkStart w:id="9" w:name="Contact2"/>
            <w:bookmarkEnd w:id="9"/>
          </w:p>
        </w:tc>
        <w:tc>
          <w:tcPr>
            <w:tcW w:w="425" w:type="dxa"/>
            <w:tcBorders>
              <w:top w:val="nil"/>
              <w:bottom w:val="nil"/>
            </w:tcBorders>
          </w:tcPr>
          <w:p w:rsidR="002C2D5C" w:rsidRPr="004B77D6" w:rsidRDefault="002C2D5C" w:rsidP="00C378B2">
            <w:pPr>
              <w:pStyle w:val="Tabletext"/>
              <w:jc w:val="both"/>
              <w:rPr>
                <w:sz w:val="18"/>
                <w:szCs w:val="18"/>
              </w:rPr>
            </w:pPr>
          </w:p>
        </w:tc>
        <w:tc>
          <w:tcPr>
            <w:tcW w:w="2835" w:type="dxa"/>
          </w:tcPr>
          <w:p w:rsidR="002C2D5C" w:rsidRPr="004B77D6" w:rsidRDefault="002C2D5C" w:rsidP="00C378B2">
            <w:pPr>
              <w:pStyle w:val="Tabletext"/>
              <w:jc w:val="both"/>
              <w:rPr>
                <w:sz w:val="18"/>
                <w:szCs w:val="18"/>
              </w:rPr>
            </w:pPr>
            <w:bookmarkStart w:id="10" w:name="CheckedBy"/>
            <w:bookmarkEnd w:id="10"/>
          </w:p>
        </w:tc>
        <w:tc>
          <w:tcPr>
            <w:tcW w:w="425" w:type="dxa"/>
            <w:tcBorders>
              <w:top w:val="nil"/>
              <w:bottom w:val="nil"/>
            </w:tcBorders>
          </w:tcPr>
          <w:p w:rsidR="002C2D5C" w:rsidRPr="004B77D6" w:rsidRDefault="002C2D5C" w:rsidP="00C378B2">
            <w:pPr>
              <w:pStyle w:val="Tabletext"/>
              <w:jc w:val="both"/>
              <w:rPr>
                <w:sz w:val="18"/>
                <w:szCs w:val="18"/>
              </w:rPr>
            </w:pPr>
          </w:p>
        </w:tc>
        <w:tc>
          <w:tcPr>
            <w:tcW w:w="2811" w:type="dxa"/>
          </w:tcPr>
          <w:p w:rsidR="002C2D5C" w:rsidRPr="004B77D6" w:rsidRDefault="002C2D5C" w:rsidP="00C378B2">
            <w:pPr>
              <w:pStyle w:val="Tabletext"/>
              <w:jc w:val="both"/>
              <w:rPr>
                <w:sz w:val="18"/>
                <w:szCs w:val="18"/>
              </w:rPr>
            </w:pPr>
            <w:bookmarkStart w:id="11" w:name="ApprovedBy"/>
            <w:bookmarkEnd w:id="11"/>
          </w:p>
        </w:tc>
      </w:tr>
    </w:tbl>
    <w:p w:rsidR="002C2D5C" w:rsidRDefault="002C2D5C" w:rsidP="002C2D5C">
      <w:pPr>
        <w:pStyle w:val="BodyText"/>
        <w:jc w:val="both"/>
      </w:pPr>
    </w:p>
    <w:p w:rsidR="002C2D5C" w:rsidRDefault="002C2D5C" w:rsidP="002C2D5C">
      <w:pPr>
        <w:jc w:val="both"/>
      </w:pPr>
    </w:p>
    <w:p w:rsidR="002C2D5C" w:rsidRDefault="002C2D5C" w:rsidP="002C2D5C">
      <w:pPr>
        <w:pStyle w:val="Heading"/>
        <w:jc w:val="both"/>
      </w:pPr>
      <w:bookmarkStart w:id="12" w:name="Text_RevisionHistory"/>
      <w:r>
        <w:t>Revision History</w:t>
      </w:r>
      <w:bookmarkEnd w:id="12"/>
    </w:p>
    <w:tbl>
      <w:tblPr>
        <w:tblStyle w:val="AECOMtable"/>
        <w:tblW w:w="4950" w:type="pct"/>
        <w:tblLook w:val="04A0"/>
      </w:tblPr>
      <w:tblGrid>
        <w:gridCol w:w="1508"/>
        <w:gridCol w:w="1508"/>
        <w:gridCol w:w="1508"/>
        <w:gridCol w:w="1508"/>
        <w:gridCol w:w="1508"/>
        <w:gridCol w:w="1508"/>
      </w:tblGrid>
      <w:tr w:rsidR="00FF3107" w:rsidRPr="004B77D6" w:rsidTr="00C378B2">
        <w:trPr>
          <w:cnfStyle w:val="100000000000"/>
        </w:trPr>
        <w:tc>
          <w:tcPr>
            <w:tcW w:w="1508" w:type="dxa"/>
          </w:tcPr>
          <w:p w:rsidR="002C2D5C" w:rsidRPr="004B77D6" w:rsidRDefault="002C2D5C" w:rsidP="00C378B2">
            <w:pPr>
              <w:pStyle w:val="Tabletext"/>
              <w:jc w:val="both"/>
              <w:rPr>
                <w:sz w:val="18"/>
                <w:szCs w:val="18"/>
              </w:rPr>
            </w:pPr>
            <w:bookmarkStart w:id="13" w:name="Text_Revision"/>
            <w:r w:rsidRPr="004B77D6">
              <w:rPr>
                <w:sz w:val="18"/>
                <w:szCs w:val="18"/>
              </w:rPr>
              <w:t>Revision</w:t>
            </w:r>
            <w:bookmarkEnd w:id="13"/>
          </w:p>
        </w:tc>
        <w:tc>
          <w:tcPr>
            <w:tcW w:w="1508" w:type="dxa"/>
          </w:tcPr>
          <w:p w:rsidR="002C2D5C" w:rsidRPr="004B77D6" w:rsidRDefault="002C2D5C" w:rsidP="00C378B2">
            <w:pPr>
              <w:pStyle w:val="Tabletext"/>
              <w:jc w:val="both"/>
              <w:rPr>
                <w:b w:val="0"/>
                <w:sz w:val="18"/>
                <w:szCs w:val="18"/>
              </w:rPr>
            </w:pPr>
            <w:bookmarkStart w:id="14" w:name="Text_RevisionDate"/>
            <w:r w:rsidRPr="004B77D6">
              <w:rPr>
                <w:sz w:val="18"/>
                <w:szCs w:val="18"/>
              </w:rPr>
              <w:t>Revision date</w:t>
            </w:r>
            <w:bookmarkEnd w:id="14"/>
          </w:p>
        </w:tc>
        <w:tc>
          <w:tcPr>
            <w:tcW w:w="1508" w:type="dxa"/>
          </w:tcPr>
          <w:p w:rsidR="002C2D5C" w:rsidRPr="004B77D6" w:rsidRDefault="002C2D5C" w:rsidP="00C378B2">
            <w:pPr>
              <w:pStyle w:val="Tabletext"/>
              <w:jc w:val="both"/>
              <w:rPr>
                <w:sz w:val="18"/>
                <w:szCs w:val="18"/>
              </w:rPr>
            </w:pPr>
            <w:bookmarkStart w:id="15" w:name="Text_Details"/>
            <w:r w:rsidRPr="004B77D6">
              <w:rPr>
                <w:sz w:val="18"/>
                <w:szCs w:val="18"/>
              </w:rPr>
              <w:t>Details</w:t>
            </w:r>
            <w:bookmarkEnd w:id="15"/>
          </w:p>
        </w:tc>
        <w:tc>
          <w:tcPr>
            <w:tcW w:w="1508" w:type="dxa"/>
          </w:tcPr>
          <w:p w:rsidR="002C2D5C" w:rsidRPr="004B77D6" w:rsidRDefault="002C2D5C" w:rsidP="00C378B2">
            <w:pPr>
              <w:pStyle w:val="Tabletext"/>
              <w:jc w:val="both"/>
              <w:rPr>
                <w:sz w:val="18"/>
                <w:szCs w:val="18"/>
              </w:rPr>
            </w:pPr>
            <w:bookmarkStart w:id="16" w:name="Text_Authorized"/>
            <w:r w:rsidRPr="004B77D6">
              <w:rPr>
                <w:sz w:val="18"/>
                <w:szCs w:val="18"/>
              </w:rPr>
              <w:t>Authorized</w:t>
            </w:r>
            <w:bookmarkEnd w:id="16"/>
          </w:p>
        </w:tc>
        <w:tc>
          <w:tcPr>
            <w:tcW w:w="1508" w:type="dxa"/>
          </w:tcPr>
          <w:p w:rsidR="002C2D5C" w:rsidRPr="004B77D6" w:rsidRDefault="002C2D5C" w:rsidP="00C378B2">
            <w:pPr>
              <w:pStyle w:val="Tabletext"/>
              <w:jc w:val="both"/>
              <w:rPr>
                <w:sz w:val="18"/>
                <w:szCs w:val="18"/>
              </w:rPr>
            </w:pPr>
            <w:bookmarkStart w:id="17" w:name="Text_Name"/>
            <w:r w:rsidRPr="004B77D6">
              <w:rPr>
                <w:sz w:val="18"/>
                <w:szCs w:val="18"/>
              </w:rPr>
              <w:t>Name</w:t>
            </w:r>
            <w:bookmarkEnd w:id="17"/>
          </w:p>
        </w:tc>
        <w:tc>
          <w:tcPr>
            <w:tcW w:w="1508" w:type="dxa"/>
          </w:tcPr>
          <w:p w:rsidR="002C2D5C" w:rsidRPr="004B77D6" w:rsidRDefault="002C2D5C" w:rsidP="00C378B2">
            <w:pPr>
              <w:pStyle w:val="Tabletext"/>
              <w:jc w:val="both"/>
              <w:rPr>
                <w:sz w:val="18"/>
                <w:szCs w:val="18"/>
              </w:rPr>
            </w:pPr>
            <w:bookmarkStart w:id="18" w:name="Text_Position"/>
            <w:r w:rsidRPr="004B77D6">
              <w:rPr>
                <w:sz w:val="18"/>
                <w:szCs w:val="18"/>
              </w:rPr>
              <w:t>Position</w:t>
            </w:r>
            <w:bookmarkEnd w:id="18"/>
          </w:p>
        </w:tc>
      </w:tr>
      <w:tr w:rsidR="00FF3107" w:rsidRPr="004B77D6" w:rsidTr="001749C0">
        <w:tc>
          <w:tcPr>
            <w:tcW w:w="0" w:type="dxa"/>
          </w:tcPr>
          <w:p w:rsidR="002C2D5C" w:rsidRPr="004B77D6" w:rsidRDefault="00FF3107" w:rsidP="001749C0">
            <w:pPr>
              <w:pStyle w:val="Tabletext"/>
              <w:rPr>
                <w:sz w:val="18"/>
                <w:szCs w:val="18"/>
              </w:rPr>
            </w:pPr>
            <w:bookmarkStart w:id="19" w:name="RevisionStatus"/>
            <w:bookmarkEnd w:id="19"/>
            <w:r>
              <w:rPr>
                <w:sz w:val="18"/>
                <w:szCs w:val="18"/>
              </w:rPr>
              <w:t>1</w:t>
            </w:r>
          </w:p>
        </w:tc>
        <w:tc>
          <w:tcPr>
            <w:tcW w:w="0" w:type="dxa"/>
          </w:tcPr>
          <w:p w:rsidR="002C2D5C" w:rsidRPr="004B77D6" w:rsidRDefault="00FF3107" w:rsidP="001749C0">
            <w:pPr>
              <w:pStyle w:val="Tabletext"/>
              <w:rPr>
                <w:sz w:val="18"/>
                <w:szCs w:val="18"/>
              </w:rPr>
            </w:pPr>
            <w:r>
              <w:rPr>
                <w:sz w:val="18"/>
                <w:szCs w:val="18"/>
              </w:rPr>
              <w:t>February 2020</w:t>
            </w:r>
          </w:p>
        </w:tc>
        <w:tc>
          <w:tcPr>
            <w:tcW w:w="0" w:type="dxa"/>
          </w:tcPr>
          <w:p w:rsidR="002C2D5C" w:rsidRPr="004B77D6" w:rsidRDefault="00FF3107" w:rsidP="001749C0">
            <w:pPr>
              <w:pStyle w:val="Tabletext"/>
              <w:rPr>
                <w:sz w:val="18"/>
                <w:szCs w:val="18"/>
              </w:rPr>
            </w:pPr>
            <w:r>
              <w:rPr>
                <w:sz w:val="18"/>
                <w:szCs w:val="18"/>
              </w:rPr>
              <w:t xml:space="preserve">First draft </w:t>
            </w:r>
          </w:p>
        </w:tc>
        <w:tc>
          <w:tcPr>
            <w:tcW w:w="0" w:type="dxa"/>
          </w:tcPr>
          <w:p w:rsidR="002C2D5C" w:rsidRPr="004B77D6" w:rsidRDefault="00FF3107" w:rsidP="001749C0">
            <w:pPr>
              <w:pStyle w:val="Tabletext"/>
              <w:rPr>
                <w:sz w:val="18"/>
                <w:szCs w:val="18"/>
              </w:rPr>
            </w:pPr>
            <w:r>
              <w:rPr>
                <w:sz w:val="18"/>
                <w:szCs w:val="18"/>
              </w:rPr>
              <w:t>EB</w:t>
            </w:r>
          </w:p>
        </w:tc>
        <w:tc>
          <w:tcPr>
            <w:tcW w:w="0" w:type="dxa"/>
          </w:tcPr>
          <w:p w:rsidR="002C2D5C" w:rsidRPr="004B77D6" w:rsidRDefault="00FF3107" w:rsidP="001749C0">
            <w:pPr>
              <w:pStyle w:val="Tabletext"/>
              <w:rPr>
                <w:sz w:val="18"/>
                <w:szCs w:val="18"/>
              </w:rPr>
            </w:pPr>
            <w:r>
              <w:rPr>
                <w:sz w:val="18"/>
                <w:szCs w:val="18"/>
              </w:rPr>
              <w:t>Elena Butterworth</w:t>
            </w:r>
          </w:p>
        </w:tc>
        <w:tc>
          <w:tcPr>
            <w:tcW w:w="0" w:type="dxa"/>
          </w:tcPr>
          <w:p w:rsidR="002C2D5C" w:rsidRPr="004B77D6" w:rsidRDefault="00FF3107" w:rsidP="001749C0">
            <w:pPr>
              <w:pStyle w:val="Tabletext"/>
              <w:rPr>
                <w:sz w:val="18"/>
                <w:szCs w:val="18"/>
              </w:rPr>
            </w:pPr>
            <w:r>
              <w:rPr>
                <w:sz w:val="18"/>
                <w:szCs w:val="18"/>
              </w:rPr>
              <w:t>Graduate Planner</w:t>
            </w:r>
          </w:p>
        </w:tc>
      </w:tr>
      <w:tr w:rsidR="00FF3107" w:rsidRPr="004B77D6" w:rsidTr="001749C0">
        <w:tc>
          <w:tcPr>
            <w:tcW w:w="0" w:type="dxa"/>
          </w:tcPr>
          <w:p w:rsidR="002C2D5C" w:rsidRPr="004B77D6" w:rsidRDefault="00FF3107" w:rsidP="001749C0">
            <w:pPr>
              <w:pStyle w:val="Tabletext"/>
              <w:rPr>
                <w:sz w:val="18"/>
                <w:szCs w:val="18"/>
              </w:rPr>
            </w:pPr>
            <w:r>
              <w:rPr>
                <w:sz w:val="18"/>
                <w:szCs w:val="18"/>
              </w:rPr>
              <w:t>2</w:t>
            </w:r>
          </w:p>
        </w:tc>
        <w:tc>
          <w:tcPr>
            <w:tcW w:w="0" w:type="dxa"/>
          </w:tcPr>
          <w:p w:rsidR="002C2D5C" w:rsidRPr="004B77D6" w:rsidRDefault="00FF3107" w:rsidP="001749C0">
            <w:pPr>
              <w:pStyle w:val="Tabletext"/>
              <w:rPr>
                <w:sz w:val="18"/>
                <w:szCs w:val="18"/>
              </w:rPr>
            </w:pPr>
            <w:r>
              <w:rPr>
                <w:sz w:val="18"/>
                <w:szCs w:val="18"/>
              </w:rPr>
              <w:t>February 2020</w:t>
            </w:r>
          </w:p>
        </w:tc>
        <w:tc>
          <w:tcPr>
            <w:tcW w:w="0" w:type="dxa"/>
          </w:tcPr>
          <w:p w:rsidR="002C2D5C" w:rsidRPr="004B77D6" w:rsidRDefault="00FF3107" w:rsidP="001749C0">
            <w:pPr>
              <w:pStyle w:val="Tabletext"/>
              <w:rPr>
                <w:sz w:val="18"/>
                <w:szCs w:val="18"/>
              </w:rPr>
            </w:pPr>
            <w:r>
              <w:rPr>
                <w:sz w:val="18"/>
                <w:szCs w:val="18"/>
              </w:rPr>
              <w:t>Internal review completed</w:t>
            </w:r>
          </w:p>
        </w:tc>
        <w:tc>
          <w:tcPr>
            <w:tcW w:w="0" w:type="dxa"/>
          </w:tcPr>
          <w:p w:rsidR="002C2D5C" w:rsidRPr="004B77D6" w:rsidRDefault="00FF3107" w:rsidP="001749C0">
            <w:pPr>
              <w:pStyle w:val="Tabletext"/>
              <w:rPr>
                <w:sz w:val="18"/>
                <w:szCs w:val="18"/>
              </w:rPr>
            </w:pPr>
            <w:r>
              <w:rPr>
                <w:sz w:val="18"/>
                <w:szCs w:val="18"/>
              </w:rPr>
              <w:t>PA</w:t>
            </w:r>
          </w:p>
        </w:tc>
        <w:tc>
          <w:tcPr>
            <w:tcW w:w="0" w:type="dxa"/>
          </w:tcPr>
          <w:p w:rsidR="002C2D5C" w:rsidRPr="004B77D6" w:rsidRDefault="00FF3107" w:rsidP="001749C0">
            <w:pPr>
              <w:pStyle w:val="Tabletext"/>
              <w:rPr>
                <w:sz w:val="18"/>
                <w:szCs w:val="18"/>
              </w:rPr>
            </w:pPr>
            <w:r>
              <w:rPr>
                <w:sz w:val="18"/>
                <w:szCs w:val="18"/>
              </w:rPr>
              <w:t>Paul Avery</w:t>
            </w:r>
          </w:p>
        </w:tc>
        <w:tc>
          <w:tcPr>
            <w:tcW w:w="0" w:type="dxa"/>
          </w:tcPr>
          <w:p w:rsidR="002C2D5C" w:rsidRPr="004B77D6" w:rsidRDefault="00FF3107" w:rsidP="001749C0">
            <w:pPr>
              <w:pStyle w:val="Tabletext"/>
              <w:rPr>
                <w:sz w:val="18"/>
                <w:szCs w:val="18"/>
              </w:rPr>
            </w:pPr>
            <w:r>
              <w:rPr>
                <w:sz w:val="18"/>
                <w:szCs w:val="18"/>
              </w:rPr>
              <w:t>Housing Research Consultant</w:t>
            </w:r>
          </w:p>
        </w:tc>
      </w:tr>
      <w:tr w:rsidR="00FF3107" w:rsidRPr="004B77D6" w:rsidTr="001749C0">
        <w:tc>
          <w:tcPr>
            <w:tcW w:w="0" w:type="dxa"/>
            <w:tcBorders>
              <w:bottom w:val="single" w:sz="4" w:space="0" w:color="auto"/>
            </w:tcBorders>
          </w:tcPr>
          <w:p w:rsidR="002C2D5C" w:rsidRPr="004B77D6" w:rsidRDefault="002C2D5C" w:rsidP="001749C0">
            <w:pPr>
              <w:pStyle w:val="Tabletext"/>
              <w:rPr>
                <w:sz w:val="18"/>
                <w:szCs w:val="18"/>
              </w:rPr>
            </w:pPr>
          </w:p>
        </w:tc>
        <w:tc>
          <w:tcPr>
            <w:tcW w:w="0" w:type="dxa"/>
            <w:tcBorders>
              <w:bottom w:val="single" w:sz="4" w:space="0" w:color="auto"/>
            </w:tcBorders>
          </w:tcPr>
          <w:p w:rsidR="002C2D5C" w:rsidRPr="004B77D6" w:rsidRDefault="002C2D5C" w:rsidP="001749C0">
            <w:pPr>
              <w:pStyle w:val="Tabletext"/>
              <w:rPr>
                <w:sz w:val="18"/>
                <w:szCs w:val="18"/>
              </w:rPr>
            </w:pPr>
          </w:p>
        </w:tc>
        <w:tc>
          <w:tcPr>
            <w:tcW w:w="0" w:type="dxa"/>
            <w:tcBorders>
              <w:bottom w:val="single" w:sz="4" w:space="0" w:color="auto"/>
            </w:tcBorders>
          </w:tcPr>
          <w:p w:rsidR="002C2D5C" w:rsidRPr="004B77D6" w:rsidRDefault="002C2D5C" w:rsidP="001749C0">
            <w:pPr>
              <w:pStyle w:val="Tabletext"/>
              <w:rPr>
                <w:sz w:val="18"/>
                <w:szCs w:val="18"/>
              </w:rPr>
            </w:pPr>
          </w:p>
        </w:tc>
        <w:tc>
          <w:tcPr>
            <w:tcW w:w="0" w:type="dxa"/>
            <w:tcBorders>
              <w:bottom w:val="single" w:sz="4" w:space="0" w:color="auto"/>
            </w:tcBorders>
          </w:tcPr>
          <w:p w:rsidR="002C2D5C" w:rsidRPr="004B77D6" w:rsidRDefault="002C2D5C" w:rsidP="001749C0">
            <w:pPr>
              <w:pStyle w:val="Tabletext"/>
              <w:rPr>
                <w:sz w:val="18"/>
                <w:szCs w:val="18"/>
              </w:rPr>
            </w:pPr>
          </w:p>
        </w:tc>
        <w:tc>
          <w:tcPr>
            <w:tcW w:w="0" w:type="dxa"/>
            <w:tcBorders>
              <w:bottom w:val="single" w:sz="4" w:space="0" w:color="auto"/>
            </w:tcBorders>
          </w:tcPr>
          <w:p w:rsidR="002C2D5C" w:rsidRPr="004B77D6" w:rsidRDefault="002C2D5C" w:rsidP="001749C0">
            <w:pPr>
              <w:pStyle w:val="Tabletext"/>
              <w:rPr>
                <w:sz w:val="18"/>
                <w:szCs w:val="18"/>
              </w:rPr>
            </w:pPr>
          </w:p>
        </w:tc>
        <w:tc>
          <w:tcPr>
            <w:tcW w:w="0" w:type="dxa"/>
            <w:tcBorders>
              <w:bottom w:val="single" w:sz="4" w:space="0" w:color="auto"/>
            </w:tcBorders>
          </w:tcPr>
          <w:p w:rsidR="002C2D5C" w:rsidRPr="004B77D6" w:rsidRDefault="002C2D5C" w:rsidP="001749C0">
            <w:pPr>
              <w:pStyle w:val="Tabletext"/>
              <w:rPr>
                <w:sz w:val="18"/>
                <w:szCs w:val="18"/>
              </w:rPr>
            </w:pPr>
          </w:p>
        </w:tc>
      </w:tr>
      <w:tr w:rsidR="00FF3107" w:rsidRPr="004B77D6" w:rsidTr="001749C0">
        <w:tc>
          <w:tcPr>
            <w:tcW w:w="0" w:type="dxa"/>
            <w:tcBorders>
              <w:top w:val="single" w:sz="4" w:space="0" w:color="auto"/>
              <w:bottom w:val="single" w:sz="4" w:space="0" w:color="auto"/>
            </w:tcBorders>
          </w:tcPr>
          <w:p w:rsidR="002C2D5C" w:rsidRPr="004B77D6" w:rsidRDefault="002C2D5C" w:rsidP="001749C0">
            <w:pPr>
              <w:pStyle w:val="Tabletext"/>
              <w:rPr>
                <w:sz w:val="18"/>
                <w:szCs w:val="18"/>
              </w:rPr>
            </w:pPr>
          </w:p>
        </w:tc>
        <w:tc>
          <w:tcPr>
            <w:tcW w:w="0" w:type="dxa"/>
            <w:tcBorders>
              <w:top w:val="single" w:sz="4" w:space="0" w:color="auto"/>
              <w:bottom w:val="single" w:sz="4" w:space="0" w:color="auto"/>
            </w:tcBorders>
          </w:tcPr>
          <w:p w:rsidR="002C2D5C" w:rsidRPr="004B77D6" w:rsidRDefault="002C2D5C" w:rsidP="001749C0">
            <w:pPr>
              <w:pStyle w:val="Tabletext"/>
              <w:rPr>
                <w:sz w:val="18"/>
                <w:szCs w:val="18"/>
              </w:rPr>
            </w:pPr>
          </w:p>
        </w:tc>
        <w:tc>
          <w:tcPr>
            <w:tcW w:w="0" w:type="dxa"/>
            <w:tcBorders>
              <w:top w:val="single" w:sz="4" w:space="0" w:color="auto"/>
              <w:bottom w:val="single" w:sz="4" w:space="0" w:color="auto"/>
            </w:tcBorders>
          </w:tcPr>
          <w:p w:rsidR="002C2D5C" w:rsidRPr="004B77D6" w:rsidRDefault="002C2D5C" w:rsidP="001749C0">
            <w:pPr>
              <w:pStyle w:val="Tabletext"/>
              <w:rPr>
                <w:sz w:val="18"/>
                <w:szCs w:val="18"/>
              </w:rPr>
            </w:pPr>
          </w:p>
        </w:tc>
        <w:tc>
          <w:tcPr>
            <w:tcW w:w="0" w:type="dxa"/>
            <w:tcBorders>
              <w:top w:val="single" w:sz="4" w:space="0" w:color="auto"/>
              <w:bottom w:val="single" w:sz="4" w:space="0" w:color="auto"/>
            </w:tcBorders>
          </w:tcPr>
          <w:p w:rsidR="002C2D5C" w:rsidRPr="004B77D6" w:rsidRDefault="002C2D5C" w:rsidP="001749C0">
            <w:pPr>
              <w:pStyle w:val="Tabletext"/>
              <w:rPr>
                <w:sz w:val="18"/>
                <w:szCs w:val="18"/>
              </w:rPr>
            </w:pPr>
          </w:p>
        </w:tc>
        <w:tc>
          <w:tcPr>
            <w:tcW w:w="0" w:type="dxa"/>
            <w:tcBorders>
              <w:top w:val="single" w:sz="4" w:space="0" w:color="auto"/>
              <w:bottom w:val="single" w:sz="4" w:space="0" w:color="auto"/>
            </w:tcBorders>
          </w:tcPr>
          <w:p w:rsidR="002C2D5C" w:rsidRPr="004B77D6" w:rsidRDefault="002C2D5C" w:rsidP="001749C0">
            <w:pPr>
              <w:pStyle w:val="Tabletext"/>
              <w:rPr>
                <w:sz w:val="18"/>
                <w:szCs w:val="18"/>
              </w:rPr>
            </w:pPr>
          </w:p>
        </w:tc>
        <w:tc>
          <w:tcPr>
            <w:tcW w:w="0" w:type="dxa"/>
            <w:tcBorders>
              <w:top w:val="single" w:sz="4" w:space="0" w:color="auto"/>
              <w:bottom w:val="single" w:sz="4" w:space="0" w:color="auto"/>
            </w:tcBorders>
          </w:tcPr>
          <w:p w:rsidR="002C2D5C" w:rsidRPr="004B77D6" w:rsidRDefault="002C2D5C" w:rsidP="001749C0">
            <w:pPr>
              <w:pStyle w:val="Tabletext"/>
              <w:rPr>
                <w:sz w:val="18"/>
                <w:szCs w:val="18"/>
              </w:rPr>
            </w:pPr>
          </w:p>
        </w:tc>
      </w:tr>
    </w:tbl>
    <w:p w:rsidR="002C2D5C" w:rsidRPr="004B77D6" w:rsidRDefault="002C2D5C" w:rsidP="002C2D5C">
      <w:pPr>
        <w:jc w:val="both"/>
        <w:rPr>
          <w:sz w:val="18"/>
          <w:szCs w:val="18"/>
        </w:rPr>
      </w:pPr>
    </w:p>
    <w:p w:rsidR="002C2D5C" w:rsidRDefault="002C2D5C" w:rsidP="002C2D5C">
      <w:pPr>
        <w:jc w:val="both"/>
      </w:pPr>
    </w:p>
    <w:p w:rsidR="002C2D5C" w:rsidRDefault="002C2D5C" w:rsidP="002C2D5C">
      <w:pPr>
        <w:jc w:val="both"/>
      </w:pPr>
    </w:p>
    <w:p w:rsidR="002C2D5C" w:rsidRDefault="002C2D5C" w:rsidP="002C2D5C">
      <w:pPr>
        <w:jc w:val="both"/>
      </w:pPr>
      <w:r>
        <w:br w:type="page"/>
      </w:r>
    </w:p>
    <w:p w:rsidR="002C2D5C" w:rsidRDefault="002C2D5C" w:rsidP="002C2D5C">
      <w:pPr>
        <w:pStyle w:val="BodyText"/>
        <w:jc w:val="both"/>
      </w:pPr>
    </w:p>
    <w:p w:rsidR="002C2D5C" w:rsidRPr="008952D6" w:rsidRDefault="002C2D5C" w:rsidP="002C2D5C">
      <w:pPr>
        <w:pStyle w:val="Heading"/>
        <w:jc w:val="both"/>
      </w:pPr>
      <w:bookmarkStart w:id="20" w:name="Text_PreparedFor"/>
      <w:r>
        <w:t>Prepared for</w:t>
      </w:r>
      <w:bookmarkEnd w:id="20"/>
      <w:r w:rsidRPr="008952D6">
        <w:t>:</w:t>
      </w:r>
    </w:p>
    <w:p w:rsidR="002C2D5C" w:rsidRDefault="001A69AC" w:rsidP="002C2D5C">
      <w:pPr>
        <w:jc w:val="both"/>
      </w:pPr>
      <w:r w:rsidRPr="00BF4E4C">
        <w:fldChar w:fldCharType="begin"/>
      </w:r>
      <w:r w:rsidR="002C2D5C" w:rsidRPr="00BF4E4C">
        <w:instrText xml:space="preserve"> DOCPROPERTY  ClientName \* MERGEFORMAT </w:instrText>
      </w:r>
      <w:r w:rsidRPr="00BF4E4C">
        <w:fldChar w:fldCharType="end"/>
      </w:r>
      <w:bookmarkStart w:id="21" w:name="FooterClientAddress"/>
      <w:bookmarkEnd w:id="21"/>
      <w:r w:rsidR="00FF3107">
        <w:t>Reedham Parish Council</w:t>
      </w:r>
    </w:p>
    <w:p w:rsidR="002C2D5C" w:rsidRPr="00BF4E4C" w:rsidRDefault="002C2D5C" w:rsidP="002C2D5C">
      <w:pPr>
        <w:jc w:val="both"/>
      </w:pPr>
    </w:p>
    <w:p w:rsidR="002C2D5C" w:rsidRDefault="002C2D5C" w:rsidP="002C2D5C">
      <w:pPr>
        <w:pStyle w:val="Heading"/>
        <w:jc w:val="both"/>
      </w:pPr>
      <w:bookmarkStart w:id="22" w:name="Text_PreparedBy_1"/>
      <w:r>
        <w:t>Prepared by</w:t>
      </w:r>
      <w:bookmarkEnd w:id="22"/>
      <w:r>
        <w:t>:</w:t>
      </w:r>
      <w:bookmarkStart w:id="23" w:name="Contact1"/>
    </w:p>
    <w:p w:rsidR="002C2D5C" w:rsidRDefault="002C2D5C" w:rsidP="002C2D5C">
      <w:pPr>
        <w:jc w:val="both"/>
      </w:pPr>
      <w:bookmarkStart w:id="24" w:name="OfficeAddress1"/>
      <w:bookmarkEnd w:id="23"/>
      <w:r>
        <w:t>AECOM</w:t>
      </w:r>
    </w:p>
    <w:p w:rsidR="002C2D5C" w:rsidRDefault="002C2D5C" w:rsidP="002C2D5C">
      <w:pPr>
        <w:spacing w:before="0" w:after="0"/>
        <w:jc w:val="both"/>
      </w:pPr>
      <w:r>
        <w:t>Aldgate Tower</w:t>
      </w:r>
    </w:p>
    <w:p w:rsidR="002C2D5C" w:rsidRDefault="002C2D5C" w:rsidP="002C2D5C">
      <w:pPr>
        <w:spacing w:before="0" w:after="0"/>
        <w:jc w:val="both"/>
      </w:pPr>
      <w:r>
        <w:t>2 Leman Street</w:t>
      </w:r>
    </w:p>
    <w:p w:rsidR="002C2D5C" w:rsidRDefault="002C2D5C" w:rsidP="002C2D5C">
      <w:pPr>
        <w:spacing w:before="0" w:after="0"/>
        <w:jc w:val="both"/>
      </w:pPr>
      <w:r>
        <w:t>London</w:t>
      </w:r>
    </w:p>
    <w:p w:rsidR="002C2D5C" w:rsidRDefault="002C2D5C" w:rsidP="002C2D5C">
      <w:pPr>
        <w:spacing w:before="0" w:after="0"/>
        <w:jc w:val="both"/>
      </w:pPr>
      <w:r>
        <w:t>E1 8FA</w:t>
      </w:r>
    </w:p>
    <w:p w:rsidR="002C2D5C" w:rsidRDefault="002C2D5C" w:rsidP="002C2D5C">
      <w:pPr>
        <w:spacing w:before="0" w:after="0"/>
        <w:jc w:val="both"/>
      </w:pPr>
      <w:r>
        <w:t>aecom.com</w:t>
      </w:r>
      <w:bookmarkEnd w:id="24"/>
    </w:p>
    <w:p w:rsidR="002C2D5C" w:rsidRDefault="002C2D5C" w:rsidP="002C2D5C">
      <w:pPr>
        <w:pStyle w:val="BodyText"/>
        <w:jc w:val="both"/>
      </w:pPr>
    </w:p>
    <w:p w:rsidR="002C2D5C" w:rsidRDefault="002C2D5C" w:rsidP="002C2D5C">
      <w:pPr>
        <w:pStyle w:val="BodyText"/>
        <w:jc w:val="both"/>
      </w:pPr>
    </w:p>
    <w:p w:rsidR="002C2D5C" w:rsidRDefault="002C2D5C" w:rsidP="002C2D5C">
      <w:pPr>
        <w:pStyle w:val="BodyText"/>
        <w:jc w:val="both"/>
      </w:pPr>
    </w:p>
    <w:p w:rsidR="002C2D5C" w:rsidRDefault="002C2D5C" w:rsidP="002C2D5C">
      <w:pPr>
        <w:pStyle w:val="BodyText"/>
        <w:jc w:val="both"/>
      </w:pPr>
    </w:p>
    <w:p w:rsidR="002C2D5C" w:rsidRDefault="002C2D5C" w:rsidP="002C2D5C">
      <w:pPr>
        <w:pStyle w:val="BodyText"/>
        <w:jc w:val="both"/>
      </w:pPr>
    </w:p>
    <w:p w:rsidR="002C2D5C" w:rsidRDefault="002C2D5C" w:rsidP="002C2D5C">
      <w:pPr>
        <w:pStyle w:val="BodyText"/>
        <w:jc w:val="both"/>
      </w:pPr>
    </w:p>
    <w:p w:rsidR="002C2D5C" w:rsidRDefault="002C2D5C" w:rsidP="002C2D5C">
      <w:pPr>
        <w:pStyle w:val="BodyText"/>
        <w:jc w:val="both"/>
      </w:pPr>
    </w:p>
    <w:p w:rsidR="002C2D5C" w:rsidRDefault="002C2D5C" w:rsidP="002C2D5C">
      <w:pPr>
        <w:pStyle w:val="BodyText"/>
        <w:jc w:val="both"/>
      </w:pPr>
    </w:p>
    <w:p w:rsidR="002C2D5C" w:rsidRDefault="002C2D5C" w:rsidP="002C2D5C">
      <w:pPr>
        <w:pStyle w:val="BodyText"/>
        <w:jc w:val="both"/>
      </w:pPr>
    </w:p>
    <w:p w:rsidR="002C2D5C" w:rsidRDefault="002C2D5C" w:rsidP="002C2D5C">
      <w:pPr>
        <w:pStyle w:val="BodyText"/>
        <w:jc w:val="both"/>
      </w:pPr>
    </w:p>
    <w:p w:rsidR="002C2D5C" w:rsidRDefault="002C2D5C" w:rsidP="002C2D5C">
      <w:pPr>
        <w:pStyle w:val="BodyText"/>
        <w:jc w:val="both"/>
      </w:pPr>
    </w:p>
    <w:p w:rsidR="002C2D5C" w:rsidRDefault="002C2D5C" w:rsidP="002C2D5C">
      <w:pPr>
        <w:pStyle w:val="BodyText"/>
        <w:jc w:val="both"/>
      </w:pPr>
    </w:p>
    <w:p w:rsidR="002C2D5C" w:rsidRDefault="002C2D5C" w:rsidP="002C2D5C">
      <w:pPr>
        <w:pStyle w:val="BodyText"/>
        <w:jc w:val="both"/>
      </w:pPr>
    </w:p>
    <w:p w:rsidR="002C2D5C" w:rsidRDefault="002C2D5C" w:rsidP="002C2D5C">
      <w:pPr>
        <w:pStyle w:val="BodyText"/>
        <w:jc w:val="both"/>
      </w:pPr>
    </w:p>
    <w:p w:rsidR="002C2D5C" w:rsidRPr="0036321E" w:rsidRDefault="002C2D5C" w:rsidP="002C2D5C">
      <w:pPr>
        <w:pStyle w:val="BodyText"/>
        <w:jc w:val="both"/>
      </w:pPr>
      <w:bookmarkStart w:id="25" w:name="Copyright"/>
      <w:r>
        <w:t>© 20</w:t>
      </w:r>
      <w:r w:rsidR="00FF3107">
        <w:t>20</w:t>
      </w:r>
      <w:r w:rsidRPr="0036321E">
        <w:t xml:space="preserve"> AECOM. All Rights Reserved.  </w:t>
      </w:r>
      <w:bookmarkEnd w:id="25"/>
    </w:p>
    <w:p w:rsidR="002C2D5C" w:rsidRDefault="002C2D5C" w:rsidP="002C2D5C">
      <w:pPr>
        <w:jc w:val="both"/>
        <w:rPr>
          <w:lang w:val="en-US"/>
        </w:rPr>
      </w:pPr>
      <w:r w:rsidRPr="0036321E">
        <w:rPr>
          <w:lang w:val="en-US"/>
        </w:rPr>
        <w:t>This document has been prepared by AECOM Limited (“AECOM”) in accordance with its contract with Locality (the “Client”) and in accordance with generally accepted consultancy principles, the budget for fees and the terms of reference agreed between AECOM and the Client. Any information provided by third parties and referred to herein has not been checked or verified by AECOM, unless otherwise expressly stated in the document. AECOM shall have no liability to any third party that makes use of or relies upon this document.</w:t>
      </w:r>
    </w:p>
    <w:p w:rsidR="002C2D5C" w:rsidRDefault="002C2D5C" w:rsidP="002C2D5C">
      <w:pPr>
        <w:jc w:val="both"/>
        <w:rPr>
          <w:lang w:val="en-US"/>
        </w:rPr>
      </w:pPr>
    </w:p>
    <w:p w:rsidR="002C2D5C" w:rsidRDefault="002C2D5C" w:rsidP="002C2D5C">
      <w:pPr>
        <w:pStyle w:val="Default"/>
        <w:pBdr>
          <w:top w:val="single" w:sz="4" w:space="1" w:color="auto"/>
          <w:left w:val="single" w:sz="4" w:space="4" w:color="auto"/>
          <w:bottom w:val="single" w:sz="4" w:space="1" w:color="auto"/>
          <w:right w:val="single" w:sz="4" w:space="4" w:color="auto"/>
        </w:pBdr>
        <w:jc w:val="both"/>
        <w:rPr>
          <w:sz w:val="18"/>
          <w:szCs w:val="18"/>
        </w:rPr>
      </w:pPr>
      <w:r>
        <w:rPr>
          <w:b/>
          <w:bCs/>
          <w:sz w:val="18"/>
          <w:szCs w:val="18"/>
        </w:rPr>
        <w:t xml:space="preserve">Disclaimer </w:t>
      </w:r>
    </w:p>
    <w:p w:rsidR="002C2D5C" w:rsidRPr="00445AF7" w:rsidRDefault="002C2D5C" w:rsidP="002C2D5C">
      <w:pPr>
        <w:pBdr>
          <w:top w:val="single" w:sz="4" w:space="1" w:color="auto"/>
          <w:left w:val="single" w:sz="4" w:space="4" w:color="auto"/>
          <w:bottom w:val="single" w:sz="4" w:space="1" w:color="auto"/>
          <w:right w:val="single" w:sz="4" w:space="4" w:color="auto"/>
        </w:pBdr>
        <w:jc w:val="both"/>
        <w:rPr>
          <w:lang w:val="en-US"/>
        </w:rPr>
      </w:pPr>
      <w:r>
        <w:t>This document is intended to aid the preparation of the Neighbourhood Plan, and can be used to guide decision making and as evidence to support Plan polici</w:t>
      </w:r>
      <w:r w:rsidR="00A50BD6">
        <w:t>es, if the Qualifying Body (</w:t>
      </w:r>
      <w:r>
        <w:t xml:space="preserve">i.e. the neighbourhood planning group) so chooses. It is not a neighbourhood plan policy document. It is a ‘snapshot’ in time and may become superseded by more recent information. The </w:t>
      </w:r>
      <w:r w:rsidR="00A50BD6">
        <w:t>Qualifying Body</w:t>
      </w:r>
      <w:r>
        <w:t xml:space="preserve"> is not bound to accept its conclusions. If any party can demonstrate that any of the evidence presented herein is inaccurate or out of date, such evidence can be presented to the </w:t>
      </w:r>
      <w:r w:rsidR="00A50BD6">
        <w:t>Qualifying Body</w:t>
      </w:r>
      <w:r>
        <w:t xml:space="preserve"> at the consultation stage. Where evidence from elsewhere conflicts with this report, the </w:t>
      </w:r>
      <w:r w:rsidR="00A50BD6">
        <w:t xml:space="preserve">Qualifying Body </w:t>
      </w:r>
      <w:r>
        <w:t>should decide what policy position to take in the Neighbourhood Plan and that judgement should be documented so that it can be defended at the Examination stage.</w:t>
      </w:r>
    </w:p>
    <w:p w:rsidR="002C2D5C" w:rsidRDefault="002C2D5C" w:rsidP="002C2D5C">
      <w:pPr>
        <w:pStyle w:val="BodyText"/>
        <w:jc w:val="both"/>
      </w:pPr>
    </w:p>
    <w:p w:rsidR="002C2D5C" w:rsidRPr="0036321E" w:rsidRDefault="002C2D5C" w:rsidP="002C2D5C">
      <w:pPr>
        <w:jc w:val="both"/>
        <w:rPr>
          <w:lang w:val="en-US"/>
        </w:rPr>
      </w:pPr>
    </w:p>
    <w:p w:rsidR="002C2D5C" w:rsidRDefault="002C2D5C" w:rsidP="002C2D5C">
      <w:pPr>
        <w:jc w:val="both"/>
      </w:pPr>
      <w:r>
        <w:br w:type="page"/>
      </w:r>
    </w:p>
    <w:p w:rsidR="002C2D5C" w:rsidRDefault="002C2D5C" w:rsidP="002C2D5C">
      <w:pPr>
        <w:pStyle w:val="TOCHeading"/>
        <w:jc w:val="both"/>
        <w:rPr>
          <w:noProof/>
        </w:rPr>
      </w:pPr>
      <w:bookmarkStart w:id="26" w:name="Text_Contents"/>
      <w:bookmarkStart w:id="27" w:name="TOC"/>
      <w:r>
        <w:rPr>
          <w:noProof/>
        </w:rPr>
        <w:lastRenderedPageBreak/>
        <w:t>Table of Contents</w:t>
      </w:r>
      <w:bookmarkEnd w:id="26"/>
      <w:r>
        <w:rPr>
          <w:noProof/>
        </w:rPr>
        <w:t xml:space="preserve"> </w:t>
      </w:r>
    </w:p>
    <w:p w:rsidR="009C344D" w:rsidRDefault="001A69AC">
      <w:pPr>
        <w:pStyle w:val="TOC1"/>
        <w:rPr>
          <w:rFonts w:asciiTheme="minorHAnsi" w:eastAsiaTheme="minorEastAsia" w:hAnsiTheme="minorHAnsi" w:cstheme="minorBidi"/>
          <w:noProof/>
          <w:color w:val="auto"/>
          <w:sz w:val="22"/>
        </w:rPr>
      </w:pPr>
      <w:r w:rsidRPr="001A69AC">
        <w:rPr>
          <w:noProof/>
        </w:rPr>
        <w:fldChar w:fldCharType="begin"/>
      </w:r>
      <w:r w:rsidR="002C2D5C">
        <w:rPr>
          <w:noProof/>
        </w:rPr>
        <w:instrText xml:space="preserve"> TOC \o "1-4" \z \u </w:instrText>
      </w:r>
      <w:r w:rsidRPr="001A69AC">
        <w:rPr>
          <w:noProof/>
        </w:rPr>
        <w:fldChar w:fldCharType="separate"/>
      </w:r>
      <w:r w:rsidR="009C344D" w:rsidRPr="00B87D58">
        <w:rPr>
          <w:noProof/>
          <w:lang w:val="en-US"/>
        </w:rPr>
        <w:t>1.</w:t>
      </w:r>
      <w:r w:rsidR="009C344D">
        <w:rPr>
          <w:rFonts w:asciiTheme="minorHAnsi" w:eastAsiaTheme="minorEastAsia" w:hAnsiTheme="minorHAnsi" w:cstheme="minorBidi"/>
          <w:noProof/>
          <w:color w:val="auto"/>
          <w:sz w:val="22"/>
        </w:rPr>
        <w:tab/>
      </w:r>
      <w:r w:rsidR="009C344D" w:rsidRPr="00B87D58">
        <w:rPr>
          <w:noProof/>
          <w:lang w:val="en-US"/>
        </w:rPr>
        <w:t>Executive Summary</w:t>
      </w:r>
      <w:r w:rsidR="009C344D">
        <w:rPr>
          <w:noProof/>
          <w:webHidden/>
        </w:rPr>
        <w:tab/>
      </w:r>
      <w:r>
        <w:rPr>
          <w:noProof/>
          <w:webHidden/>
        </w:rPr>
        <w:fldChar w:fldCharType="begin"/>
      </w:r>
      <w:r w:rsidR="009C344D">
        <w:rPr>
          <w:noProof/>
          <w:webHidden/>
        </w:rPr>
        <w:instrText xml:space="preserve"> PAGEREF _Toc33015831 \h </w:instrText>
      </w:r>
      <w:r>
        <w:rPr>
          <w:noProof/>
          <w:webHidden/>
        </w:rPr>
      </w:r>
      <w:r>
        <w:rPr>
          <w:noProof/>
          <w:webHidden/>
        </w:rPr>
        <w:fldChar w:fldCharType="separate"/>
      </w:r>
      <w:r w:rsidR="009C344D">
        <w:rPr>
          <w:noProof/>
          <w:webHidden/>
        </w:rPr>
        <w:t>7</w:t>
      </w:r>
      <w:r>
        <w:rPr>
          <w:noProof/>
          <w:webHidden/>
        </w:rPr>
        <w:fldChar w:fldCharType="end"/>
      </w:r>
    </w:p>
    <w:p w:rsidR="009C344D" w:rsidRDefault="009C344D">
      <w:pPr>
        <w:pStyle w:val="TOC1"/>
        <w:rPr>
          <w:rFonts w:asciiTheme="minorHAnsi" w:eastAsiaTheme="minorEastAsia" w:hAnsiTheme="minorHAnsi" w:cstheme="minorBidi"/>
          <w:noProof/>
          <w:color w:val="auto"/>
          <w:sz w:val="22"/>
        </w:rPr>
      </w:pPr>
      <w:r w:rsidRPr="00B87D58">
        <w:rPr>
          <w:noProof/>
          <w:lang w:val="en-US"/>
        </w:rPr>
        <w:t>2.</w:t>
      </w:r>
      <w:r>
        <w:rPr>
          <w:rFonts w:asciiTheme="minorHAnsi" w:eastAsiaTheme="minorEastAsia" w:hAnsiTheme="minorHAnsi" w:cstheme="minorBidi"/>
          <w:noProof/>
          <w:color w:val="auto"/>
          <w:sz w:val="22"/>
        </w:rPr>
        <w:tab/>
      </w:r>
      <w:r w:rsidRPr="00B87D58">
        <w:rPr>
          <w:noProof/>
          <w:lang w:val="en-US"/>
        </w:rPr>
        <w:t>Context</w:t>
      </w:r>
      <w:r>
        <w:rPr>
          <w:noProof/>
          <w:webHidden/>
        </w:rPr>
        <w:tab/>
      </w:r>
      <w:r w:rsidR="001A69AC">
        <w:rPr>
          <w:noProof/>
          <w:webHidden/>
        </w:rPr>
        <w:fldChar w:fldCharType="begin"/>
      </w:r>
      <w:r>
        <w:rPr>
          <w:noProof/>
          <w:webHidden/>
        </w:rPr>
        <w:instrText xml:space="preserve"> PAGEREF _Toc33015832 \h </w:instrText>
      </w:r>
      <w:r w:rsidR="001A69AC">
        <w:rPr>
          <w:noProof/>
          <w:webHidden/>
        </w:rPr>
      </w:r>
      <w:r w:rsidR="001A69AC">
        <w:rPr>
          <w:noProof/>
          <w:webHidden/>
        </w:rPr>
        <w:fldChar w:fldCharType="separate"/>
      </w:r>
      <w:r>
        <w:rPr>
          <w:noProof/>
          <w:webHidden/>
        </w:rPr>
        <w:t>8</w:t>
      </w:r>
      <w:r w:rsidR="001A69AC">
        <w:rPr>
          <w:noProof/>
          <w:webHidden/>
        </w:rPr>
        <w:fldChar w:fldCharType="end"/>
      </w:r>
    </w:p>
    <w:p w:rsidR="009C344D" w:rsidRDefault="009C344D">
      <w:pPr>
        <w:pStyle w:val="TOC2"/>
        <w:tabs>
          <w:tab w:val="left" w:pos="1134"/>
        </w:tabs>
        <w:rPr>
          <w:rFonts w:asciiTheme="minorHAnsi" w:eastAsiaTheme="minorEastAsia" w:hAnsiTheme="minorHAnsi" w:cstheme="minorBidi"/>
          <w:noProof/>
          <w:color w:val="auto"/>
          <w:sz w:val="22"/>
        </w:rPr>
      </w:pPr>
      <w:r>
        <w:rPr>
          <w:noProof/>
        </w:rPr>
        <w:t>2.1</w:t>
      </w:r>
      <w:r>
        <w:rPr>
          <w:rFonts w:asciiTheme="minorHAnsi" w:eastAsiaTheme="minorEastAsia" w:hAnsiTheme="minorHAnsi" w:cstheme="minorBidi"/>
          <w:noProof/>
          <w:color w:val="auto"/>
          <w:sz w:val="22"/>
        </w:rPr>
        <w:tab/>
      </w:r>
      <w:r>
        <w:rPr>
          <w:noProof/>
        </w:rPr>
        <w:t>Local context</w:t>
      </w:r>
      <w:r>
        <w:rPr>
          <w:noProof/>
          <w:webHidden/>
        </w:rPr>
        <w:tab/>
      </w:r>
      <w:r w:rsidR="001A69AC">
        <w:rPr>
          <w:noProof/>
          <w:webHidden/>
        </w:rPr>
        <w:fldChar w:fldCharType="begin"/>
      </w:r>
      <w:r>
        <w:rPr>
          <w:noProof/>
          <w:webHidden/>
        </w:rPr>
        <w:instrText xml:space="preserve"> PAGEREF _Toc33015833 \h </w:instrText>
      </w:r>
      <w:r w:rsidR="001A69AC">
        <w:rPr>
          <w:noProof/>
          <w:webHidden/>
        </w:rPr>
      </w:r>
      <w:r w:rsidR="001A69AC">
        <w:rPr>
          <w:noProof/>
          <w:webHidden/>
        </w:rPr>
        <w:fldChar w:fldCharType="separate"/>
      </w:r>
      <w:r>
        <w:rPr>
          <w:noProof/>
          <w:webHidden/>
        </w:rPr>
        <w:t>8</w:t>
      </w:r>
      <w:r w:rsidR="001A69AC">
        <w:rPr>
          <w:noProof/>
          <w:webHidden/>
        </w:rPr>
        <w:fldChar w:fldCharType="end"/>
      </w:r>
    </w:p>
    <w:p w:rsidR="009C344D" w:rsidRDefault="009C344D">
      <w:pPr>
        <w:pStyle w:val="TOC2"/>
        <w:tabs>
          <w:tab w:val="left" w:pos="1134"/>
        </w:tabs>
        <w:rPr>
          <w:rFonts w:asciiTheme="minorHAnsi" w:eastAsiaTheme="minorEastAsia" w:hAnsiTheme="minorHAnsi" w:cstheme="minorBidi"/>
          <w:noProof/>
          <w:color w:val="auto"/>
          <w:sz w:val="22"/>
        </w:rPr>
      </w:pPr>
      <w:r>
        <w:rPr>
          <w:noProof/>
        </w:rPr>
        <w:t>2.2</w:t>
      </w:r>
      <w:r>
        <w:rPr>
          <w:rFonts w:asciiTheme="minorHAnsi" w:eastAsiaTheme="minorEastAsia" w:hAnsiTheme="minorHAnsi" w:cstheme="minorBidi"/>
          <w:noProof/>
          <w:color w:val="auto"/>
          <w:sz w:val="22"/>
        </w:rPr>
        <w:tab/>
      </w:r>
      <w:r>
        <w:rPr>
          <w:noProof/>
        </w:rPr>
        <w:t>Planning policy context</w:t>
      </w:r>
      <w:r>
        <w:rPr>
          <w:noProof/>
          <w:webHidden/>
        </w:rPr>
        <w:tab/>
      </w:r>
      <w:r w:rsidR="001A69AC">
        <w:rPr>
          <w:noProof/>
          <w:webHidden/>
        </w:rPr>
        <w:fldChar w:fldCharType="begin"/>
      </w:r>
      <w:r>
        <w:rPr>
          <w:noProof/>
          <w:webHidden/>
        </w:rPr>
        <w:instrText xml:space="preserve"> PAGEREF _Toc33015834 \h </w:instrText>
      </w:r>
      <w:r w:rsidR="001A69AC">
        <w:rPr>
          <w:noProof/>
          <w:webHidden/>
        </w:rPr>
      </w:r>
      <w:r w:rsidR="001A69AC">
        <w:rPr>
          <w:noProof/>
          <w:webHidden/>
        </w:rPr>
        <w:fldChar w:fldCharType="separate"/>
      </w:r>
      <w:r>
        <w:rPr>
          <w:noProof/>
          <w:webHidden/>
        </w:rPr>
        <w:t>10</w:t>
      </w:r>
      <w:r w:rsidR="001A69AC">
        <w:rPr>
          <w:noProof/>
          <w:webHidden/>
        </w:rPr>
        <w:fldChar w:fldCharType="end"/>
      </w:r>
    </w:p>
    <w:p w:rsidR="009C344D" w:rsidRDefault="009C344D">
      <w:pPr>
        <w:pStyle w:val="TOC3"/>
        <w:tabs>
          <w:tab w:val="left" w:pos="1260"/>
        </w:tabs>
        <w:rPr>
          <w:rFonts w:asciiTheme="minorHAnsi" w:eastAsiaTheme="minorEastAsia" w:hAnsiTheme="minorHAnsi" w:cstheme="minorBidi"/>
          <w:noProof/>
          <w:color w:val="auto"/>
          <w:sz w:val="22"/>
        </w:rPr>
      </w:pPr>
      <w:r>
        <w:rPr>
          <w:noProof/>
        </w:rPr>
        <w:t>2.2.1</w:t>
      </w:r>
      <w:r>
        <w:rPr>
          <w:rFonts w:asciiTheme="minorHAnsi" w:eastAsiaTheme="minorEastAsia" w:hAnsiTheme="minorHAnsi" w:cstheme="minorBidi"/>
          <w:noProof/>
          <w:color w:val="auto"/>
          <w:sz w:val="22"/>
        </w:rPr>
        <w:tab/>
      </w:r>
      <w:r>
        <w:rPr>
          <w:noProof/>
        </w:rPr>
        <w:t>Policies in the Joint Core Strategy DPD</w:t>
      </w:r>
      <w:r>
        <w:rPr>
          <w:noProof/>
          <w:webHidden/>
        </w:rPr>
        <w:tab/>
      </w:r>
      <w:r w:rsidR="001A69AC">
        <w:rPr>
          <w:noProof/>
          <w:webHidden/>
        </w:rPr>
        <w:fldChar w:fldCharType="begin"/>
      </w:r>
      <w:r>
        <w:rPr>
          <w:noProof/>
          <w:webHidden/>
        </w:rPr>
        <w:instrText xml:space="preserve"> PAGEREF _Toc33015835 \h </w:instrText>
      </w:r>
      <w:r w:rsidR="001A69AC">
        <w:rPr>
          <w:noProof/>
          <w:webHidden/>
        </w:rPr>
      </w:r>
      <w:r w:rsidR="001A69AC">
        <w:rPr>
          <w:noProof/>
          <w:webHidden/>
        </w:rPr>
        <w:fldChar w:fldCharType="separate"/>
      </w:r>
      <w:r>
        <w:rPr>
          <w:noProof/>
          <w:webHidden/>
        </w:rPr>
        <w:t>11</w:t>
      </w:r>
      <w:r w:rsidR="001A69AC">
        <w:rPr>
          <w:noProof/>
          <w:webHidden/>
        </w:rPr>
        <w:fldChar w:fldCharType="end"/>
      </w:r>
    </w:p>
    <w:p w:rsidR="009C344D" w:rsidRDefault="009C344D">
      <w:pPr>
        <w:pStyle w:val="TOC3"/>
        <w:tabs>
          <w:tab w:val="left" w:pos="1260"/>
        </w:tabs>
        <w:rPr>
          <w:rFonts w:asciiTheme="minorHAnsi" w:eastAsiaTheme="minorEastAsia" w:hAnsiTheme="minorHAnsi" w:cstheme="minorBidi"/>
          <w:noProof/>
          <w:color w:val="auto"/>
          <w:sz w:val="22"/>
        </w:rPr>
      </w:pPr>
      <w:r>
        <w:rPr>
          <w:noProof/>
        </w:rPr>
        <w:t>2.2.2</w:t>
      </w:r>
      <w:r>
        <w:rPr>
          <w:rFonts w:asciiTheme="minorHAnsi" w:eastAsiaTheme="minorEastAsia" w:hAnsiTheme="minorHAnsi" w:cstheme="minorBidi"/>
          <w:noProof/>
          <w:color w:val="auto"/>
          <w:sz w:val="22"/>
        </w:rPr>
        <w:tab/>
      </w:r>
      <w:r>
        <w:rPr>
          <w:noProof/>
        </w:rPr>
        <w:t>Policies in the Development Management DPD</w:t>
      </w:r>
      <w:r>
        <w:rPr>
          <w:noProof/>
          <w:webHidden/>
        </w:rPr>
        <w:tab/>
      </w:r>
      <w:r w:rsidR="001A69AC">
        <w:rPr>
          <w:noProof/>
          <w:webHidden/>
        </w:rPr>
        <w:fldChar w:fldCharType="begin"/>
      </w:r>
      <w:r>
        <w:rPr>
          <w:noProof/>
          <w:webHidden/>
        </w:rPr>
        <w:instrText xml:space="preserve"> PAGEREF _Toc33015836 \h </w:instrText>
      </w:r>
      <w:r w:rsidR="001A69AC">
        <w:rPr>
          <w:noProof/>
          <w:webHidden/>
        </w:rPr>
      </w:r>
      <w:r w:rsidR="001A69AC">
        <w:rPr>
          <w:noProof/>
          <w:webHidden/>
        </w:rPr>
        <w:fldChar w:fldCharType="separate"/>
      </w:r>
      <w:r>
        <w:rPr>
          <w:noProof/>
          <w:webHidden/>
        </w:rPr>
        <w:t>11</w:t>
      </w:r>
      <w:r w:rsidR="001A69AC">
        <w:rPr>
          <w:noProof/>
          <w:webHidden/>
        </w:rPr>
        <w:fldChar w:fldCharType="end"/>
      </w:r>
    </w:p>
    <w:p w:rsidR="009C344D" w:rsidRDefault="009C344D">
      <w:pPr>
        <w:pStyle w:val="TOC3"/>
        <w:tabs>
          <w:tab w:val="left" w:pos="1260"/>
        </w:tabs>
        <w:rPr>
          <w:rFonts w:asciiTheme="minorHAnsi" w:eastAsiaTheme="minorEastAsia" w:hAnsiTheme="minorHAnsi" w:cstheme="minorBidi"/>
          <w:noProof/>
          <w:color w:val="auto"/>
          <w:sz w:val="22"/>
        </w:rPr>
      </w:pPr>
      <w:r>
        <w:rPr>
          <w:noProof/>
        </w:rPr>
        <w:t>2.2.3</w:t>
      </w:r>
      <w:r>
        <w:rPr>
          <w:rFonts w:asciiTheme="minorHAnsi" w:eastAsiaTheme="minorEastAsia" w:hAnsiTheme="minorHAnsi" w:cstheme="minorBidi"/>
          <w:noProof/>
          <w:color w:val="auto"/>
          <w:sz w:val="22"/>
        </w:rPr>
        <w:tab/>
      </w:r>
      <w:r>
        <w:rPr>
          <w:noProof/>
        </w:rPr>
        <w:t>Policies in the Site Allocations DPD</w:t>
      </w:r>
      <w:r>
        <w:rPr>
          <w:noProof/>
          <w:webHidden/>
        </w:rPr>
        <w:tab/>
      </w:r>
      <w:r w:rsidR="001A69AC">
        <w:rPr>
          <w:noProof/>
          <w:webHidden/>
        </w:rPr>
        <w:fldChar w:fldCharType="begin"/>
      </w:r>
      <w:r>
        <w:rPr>
          <w:noProof/>
          <w:webHidden/>
        </w:rPr>
        <w:instrText xml:space="preserve"> PAGEREF _Toc33015837 \h </w:instrText>
      </w:r>
      <w:r w:rsidR="001A69AC">
        <w:rPr>
          <w:noProof/>
          <w:webHidden/>
        </w:rPr>
      </w:r>
      <w:r w:rsidR="001A69AC">
        <w:rPr>
          <w:noProof/>
          <w:webHidden/>
        </w:rPr>
        <w:fldChar w:fldCharType="separate"/>
      </w:r>
      <w:r>
        <w:rPr>
          <w:noProof/>
          <w:webHidden/>
        </w:rPr>
        <w:t>12</w:t>
      </w:r>
      <w:r w:rsidR="001A69AC">
        <w:rPr>
          <w:noProof/>
          <w:webHidden/>
        </w:rPr>
        <w:fldChar w:fldCharType="end"/>
      </w:r>
    </w:p>
    <w:p w:rsidR="009C344D" w:rsidRDefault="009C344D">
      <w:pPr>
        <w:pStyle w:val="TOC3"/>
        <w:tabs>
          <w:tab w:val="left" w:pos="1260"/>
        </w:tabs>
        <w:rPr>
          <w:rFonts w:asciiTheme="minorHAnsi" w:eastAsiaTheme="minorEastAsia" w:hAnsiTheme="minorHAnsi" w:cstheme="minorBidi"/>
          <w:noProof/>
          <w:color w:val="auto"/>
          <w:sz w:val="22"/>
        </w:rPr>
      </w:pPr>
      <w:r>
        <w:rPr>
          <w:noProof/>
        </w:rPr>
        <w:t>2.2.4</w:t>
      </w:r>
      <w:r>
        <w:rPr>
          <w:rFonts w:asciiTheme="minorHAnsi" w:eastAsiaTheme="minorEastAsia" w:hAnsiTheme="minorHAnsi" w:cstheme="minorBidi"/>
          <w:noProof/>
          <w:color w:val="auto"/>
          <w:sz w:val="22"/>
        </w:rPr>
        <w:tab/>
      </w:r>
      <w:r>
        <w:rPr>
          <w:noProof/>
        </w:rPr>
        <w:t>Policies in the Growth Triangle Area Action Plan 2016</w:t>
      </w:r>
      <w:r>
        <w:rPr>
          <w:noProof/>
          <w:webHidden/>
        </w:rPr>
        <w:tab/>
      </w:r>
      <w:r w:rsidR="001A69AC">
        <w:rPr>
          <w:noProof/>
          <w:webHidden/>
        </w:rPr>
        <w:fldChar w:fldCharType="begin"/>
      </w:r>
      <w:r>
        <w:rPr>
          <w:noProof/>
          <w:webHidden/>
        </w:rPr>
        <w:instrText xml:space="preserve"> PAGEREF _Toc33015838 \h </w:instrText>
      </w:r>
      <w:r w:rsidR="001A69AC">
        <w:rPr>
          <w:noProof/>
          <w:webHidden/>
        </w:rPr>
      </w:r>
      <w:r w:rsidR="001A69AC">
        <w:rPr>
          <w:noProof/>
          <w:webHidden/>
        </w:rPr>
        <w:fldChar w:fldCharType="separate"/>
      </w:r>
      <w:r>
        <w:rPr>
          <w:noProof/>
          <w:webHidden/>
        </w:rPr>
        <w:t>12</w:t>
      </w:r>
      <w:r w:rsidR="001A69AC">
        <w:rPr>
          <w:noProof/>
          <w:webHidden/>
        </w:rPr>
        <w:fldChar w:fldCharType="end"/>
      </w:r>
    </w:p>
    <w:p w:rsidR="009C344D" w:rsidRDefault="009C344D">
      <w:pPr>
        <w:pStyle w:val="TOC3"/>
        <w:tabs>
          <w:tab w:val="left" w:pos="1260"/>
        </w:tabs>
        <w:rPr>
          <w:rFonts w:asciiTheme="minorHAnsi" w:eastAsiaTheme="minorEastAsia" w:hAnsiTheme="minorHAnsi" w:cstheme="minorBidi"/>
          <w:noProof/>
          <w:color w:val="auto"/>
          <w:sz w:val="22"/>
        </w:rPr>
      </w:pPr>
      <w:r>
        <w:rPr>
          <w:noProof/>
        </w:rPr>
        <w:t>2.2.5</w:t>
      </w:r>
      <w:r>
        <w:rPr>
          <w:rFonts w:asciiTheme="minorHAnsi" w:eastAsiaTheme="minorEastAsia" w:hAnsiTheme="minorHAnsi" w:cstheme="minorBidi"/>
          <w:noProof/>
          <w:color w:val="auto"/>
          <w:sz w:val="22"/>
        </w:rPr>
        <w:tab/>
      </w:r>
      <w:r>
        <w:rPr>
          <w:noProof/>
        </w:rPr>
        <w:t>Policies in the Draft Greater Norwich Local Plan</w:t>
      </w:r>
      <w:r>
        <w:rPr>
          <w:noProof/>
          <w:webHidden/>
        </w:rPr>
        <w:tab/>
      </w:r>
      <w:r w:rsidR="001A69AC">
        <w:rPr>
          <w:noProof/>
          <w:webHidden/>
        </w:rPr>
        <w:fldChar w:fldCharType="begin"/>
      </w:r>
      <w:r>
        <w:rPr>
          <w:noProof/>
          <w:webHidden/>
        </w:rPr>
        <w:instrText xml:space="preserve"> PAGEREF _Toc33015839 \h </w:instrText>
      </w:r>
      <w:r w:rsidR="001A69AC">
        <w:rPr>
          <w:noProof/>
          <w:webHidden/>
        </w:rPr>
      </w:r>
      <w:r w:rsidR="001A69AC">
        <w:rPr>
          <w:noProof/>
          <w:webHidden/>
        </w:rPr>
        <w:fldChar w:fldCharType="separate"/>
      </w:r>
      <w:r>
        <w:rPr>
          <w:noProof/>
          <w:webHidden/>
        </w:rPr>
        <w:t>12</w:t>
      </w:r>
      <w:r w:rsidR="001A69AC">
        <w:rPr>
          <w:noProof/>
          <w:webHidden/>
        </w:rPr>
        <w:fldChar w:fldCharType="end"/>
      </w:r>
    </w:p>
    <w:p w:rsidR="009C344D" w:rsidRDefault="009C344D">
      <w:pPr>
        <w:pStyle w:val="TOC3"/>
        <w:tabs>
          <w:tab w:val="left" w:pos="1260"/>
        </w:tabs>
        <w:rPr>
          <w:rFonts w:asciiTheme="minorHAnsi" w:eastAsiaTheme="minorEastAsia" w:hAnsiTheme="minorHAnsi" w:cstheme="minorBidi"/>
          <w:noProof/>
          <w:color w:val="auto"/>
          <w:sz w:val="22"/>
        </w:rPr>
      </w:pPr>
      <w:r>
        <w:rPr>
          <w:noProof/>
        </w:rPr>
        <w:t>2.2.6</w:t>
      </w:r>
      <w:r>
        <w:rPr>
          <w:rFonts w:asciiTheme="minorHAnsi" w:eastAsiaTheme="minorEastAsia" w:hAnsiTheme="minorHAnsi" w:cstheme="minorBidi"/>
          <w:noProof/>
          <w:color w:val="auto"/>
          <w:sz w:val="22"/>
        </w:rPr>
        <w:tab/>
      </w:r>
      <w:r>
        <w:rPr>
          <w:noProof/>
        </w:rPr>
        <w:t>Additional information from the new Greater Norwich Local Plan 2020 relating to Reedham’s housing need</w:t>
      </w:r>
      <w:r>
        <w:rPr>
          <w:noProof/>
          <w:webHidden/>
        </w:rPr>
        <w:tab/>
      </w:r>
      <w:r w:rsidR="001A69AC">
        <w:rPr>
          <w:noProof/>
          <w:webHidden/>
        </w:rPr>
        <w:fldChar w:fldCharType="begin"/>
      </w:r>
      <w:r>
        <w:rPr>
          <w:noProof/>
          <w:webHidden/>
        </w:rPr>
        <w:instrText xml:space="preserve"> PAGEREF _Toc33015840 \h </w:instrText>
      </w:r>
      <w:r w:rsidR="001A69AC">
        <w:rPr>
          <w:noProof/>
          <w:webHidden/>
        </w:rPr>
      </w:r>
      <w:r w:rsidR="001A69AC">
        <w:rPr>
          <w:noProof/>
          <w:webHidden/>
        </w:rPr>
        <w:fldChar w:fldCharType="separate"/>
      </w:r>
      <w:r>
        <w:rPr>
          <w:noProof/>
          <w:webHidden/>
        </w:rPr>
        <w:t>13</w:t>
      </w:r>
      <w:r w:rsidR="001A69AC">
        <w:rPr>
          <w:noProof/>
          <w:webHidden/>
        </w:rPr>
        <w:fldChar w:fldCharType="end"/>
      </w:r>
    </w:p>
    <w:p w:rsidR="009C344D" w:rsidRDefault="009C344D">
      <w:pPr>
        <w:pStyle w:val="TOC2"/>
        <w:tabs>
          <w:tab w:val="left" w:pos="1134"/>
        </w:tabs>
        <w:rPr>
          <w:rFonts w:asciiTheme="minorHAnsi" w:eastAsiaTheme="minorEastAsia" w:hAnsiTheme="minorHAnsi" w:cstheme="minorBidi"/>
          <w:noProof/>
          <w:color w:val="auto"/>
          <w:sz w:val="22"/>
        </w:rPr>
      </w:pPr>
      <w:r>
        <w:rPr>
          <w:noProof/>
        </w:rPr>
        <w:t>2.3</w:t>
      </w:r>
      <w:r>
        <w:rPr>
          <w:rFonts w:asciiTheme="minorHAnsi" w:eastAsiaTheme="minorEastAsia" w:hAnsiTheme="minorHAnsi" w:cstheme="minorBidi"/>
          <w:noProof/>
          <w:color w:val="auto"/>
          <w:sz w:val="22"/>
        </w:rPr>
        <w:tab/>
      </w:r>
      <w:r>
        <w:rPr>
          <w:noProof/>
        </w:rPr>
        <w:t>Reedham Settlement Map:</w:t>
      </w:r>
      <w:r>
        <w:rPr>
          <w:noProof/>
          <w:webHidden/>
        </w:rPr>
        <w:tab/>
      </w:r>
      <w:r w:rsidR="001A69AC">
        <w:rPr>
          <w:noProof/>
          <w:webHidden/>
        </w:rPr>
        <w:fldChar w:fldCharType="begin"/>
      </w:r>
      <w:r>
        <w:rPr>
          <w:noProof/>
          <w:webHidden/>
        </w:rPr>
        <w:instrText xml:space="preserve"> PAGEREF _Toc33015841 \h </w:instrText>
      </w:r>
      <w:r w:rsidR="001A69AC">
        <w:rPr>
          <w:noProof/>
          <w:webHidden/>
        </w:rPr>
      </w:r>
      <w:r w:rsidR="001A69AC">
        <w:rPr>
          <w:noProof/>
          <w:webHidden/>
        </w:rPr>
        <w:fldChar w:fldCharType="separate"/>
      </w:r>
      <w:r>
        <w:rPr>
          <w:noProof/>
          <w:webHidden/>
        </w:rPr>
        <w:t>14</w:t>
      </w:r>
      <w:r w:rsidR="001A69AC">
        <w:rPr>
          <w:noProof/>
          <w:webHidden/>
        </w:rPr>
        <w:fldChar w:fldCharType="end"/>
      </w:r>
    </w:p>
    <w:p w:rsidR="009C344D" w:rsidRDefault="009C344D">
      <w:pPr>
        <w:pStyle w:val="TOC3"/>
        <w:tabs>
          <w:tab w:val="left" w:pos="1260"/>
        </w:tabs>
        <w:rPr>
          <w:rFonts w:asciiTheme="minorHAnsi" w:eastAsiaTheme="minorEastAsia" w:hAnsiTheme="minorHAnsi" w:cstheme="minorBidi"/>
          <w:noProof/>
          <w:color w:val="auto"/>
          <w:sz w:val="22"/>
        </w:rPr>
      </w:pPr>
      <w:r>
        <w:rPr>
          <w:noProof/>
        </w:rPr>
        <w:t>2.3.1</w:t>
      </w:r>
      <w:r>
        <w:rPr>
          <w:rFonts w:asciiTheme="minorHAnsi" w:eastAsiaTheme="minorEastAsia" w:hAnsiTheme="minorHAnsi" w:cstheme="minorBidi"/>
          <w:noProof/>
          <w:color w:val="auto"/>
          <w:sz w:val="22"/>
        </w:rPr>
        <w:tab/>
      </w:r>
      <w:r>
        <w:rPr>
          <w:noProof/>
        </w:rPr>
        <w:t>Quantity of housing to provide</w:t>
      </w:r>
      <w:r>
        <w:rPr>
          <w:noProof/>
          <w:webHidden/>
        </w:rPr>
        <w:tab/>
      </w:r>
      <w:r w:rsidR="001A69AC">
        <w:rPr>
          <w:noProof/>
          <w:webHidden/>
        </w:rPr>
        <w:fldChar w:fldCharType="begin"/>
      </w:r>
      <w:r>
        <w:rPr>
          <w:noProof/>
          <w:webHidden/>
        </w:rPr>
        <w:instrText xml:space="preserve"> PAGEREF _Toc33015842 \h </w:instrText>
      </w:r>
      <w:r w:rsidR="001A69AC">
        <w:rPr>
          <w:noProof/>
          <w:webHidden/>
        </w:rPr>
      </w:r>
      <w:r w:rsidR="001A69AC">
        <w:rPr>
          <w:noProof/>
          <w:webHidden/>
        </w:rPr>
        <w:fldChar w:fldCharType="separate"/>
      </w:r>
      <w:r>
        <w:rPr>
          <w:noProof/>
          <w:webHidden/>
        </w:rPr>
        <w:t>15</w:t>
      </w:r>
      <w:r w:rsidR="001A69AC">
        <w:rPr>
          <w:noProof/>
          <w:webHidden/>
        </w:rPr>
        <w:fldChar w:fldCharType="end"/>
      </w:r>
    </w:p>
    <w:p w:rsidR="009C344D" w:rsidRDefault="009C344D">
      <w:pPr>
        <w:pStyle w:val="TOC1"/>
        <w:rPr>
          <w:rFonts w:asciiTheme="minorHAnsi" w:eastAsiaTheme="minorEastAsia" w:hAnsiTheme="minorHAnsi" w:cstheme="minorBidi"/>
          <w:noProof/>
          <w:color w:val="auto"/>
          <w:sz w:val="22"/>
        </w:rPr>
      </w:pPr>
      <w:r w:rsidRPr="00B87D58">
        <w:rPr>
          <w:noProof/>
          <w:lang w:val="en-US"/>
        </w:rPr>
        <w:t>3.</w:t>
      </w:r>
      <w:r>
        <w:rPr>
          <w:rFonts w:asciiTheme="minorHAnsi" w:eastAsiaTheme="minorEastAsia" w:hAnsiTheme="minorHAnsi" w:cstheme="minorBidi"/>
          <w:noProof/>
          <w:color w:val="auto"/>
          <w:sz w:val="22"/>
        </w:rPr>
        <w:tab/>
      </w:r>
      <w:r w:rsidRPr="00B87D58">
        <w:rPr>
          <w:noProof/>
          <w:lang w:val="en-US"/>
        </w:rPr>
        <w:t>Approach</w:t>
      </w:r>
      <w:r>
        <w:rPr>
          <w:noProof/>
          <w:webHidden/>
        </w:rPr>
        <w:tab/>
      </w:r>
      <w:r w:rsidR="001A69AC">
        <w:rPr>
          <w:noProof/>
          <w:webHidden/>
        </w:rPr>
        <w:fldChar w:fldCharType="begin"/>
      </w:r>
      <w:r>
        <w:rPr>
          <w:noProof/>
          <w:webHidden/>
        </w:rPr>
        <w:instrText xml:space="preserve"> PAGEREF _Toc33015843 \h </w:instrText>
      </w:r>
      <w:r w:rsidR="001A69AC">
        <w:rPr>
          <w:noProof/>
          <w:webHidden/>
        </w:rPr>
      </w:r>
      <w:r w:rsidR="001A69AC">
        <w:rPr>
          <w:noProof/>
          <w:webHidden/>
        </w:rPr>
        <w:fldChar w:fldCharType="separate"/>
      </w:r>
      <w:r>
        <w:rPr>
          <w:noProof/>
          <w:webHidden/>
        </w:rPr>
        <w:t>16</w:t>
      </w:r>
      <w:r w:rsidR="001A69AC">
        <w:rPr>
          <w:noProof/>
          <w:webHidden/>
        </w:rPr>
        <w:fldChar w:fldCharType="end"/>
      </w:r>
    </w:p>
    <w:p w:rsidR="009C344D" w:rsidRDefault="009C344D">
      <w:pPr>
        <w:pStyle w:val="TOC2"/>
        <w:tabs>
          <w:tab w:val="left" w:pos="1134"/>
        </w:tabs>
        <w:rPr>
          <w:rFonts w:asciiTheme="minorHAnsi" w:eastAsiaTheme="minorEastAsia" w:hAnsiTheme="minorHAnsi" w:cstheme="minorBidi"/>
          <w:noProof/>
          <w:color w:val="auto"/>
          <w:sz w:val="22"/>
        </w:rPr>
      </w:pPr>
      <w:r>
        <w:rPr>
          <w:noProof/>
        </w:rPr>
        <w:t>3.1</w:t>
      </w:r>
      <w:r>
        <w:rPr>
          <w:rFonts w:asciiTheme="minorHAnsi" w:eastAsiaTheme="minorEastAsia" w:hAnsiTheme="minorHAnsi" w:cstheme="minorBidi"/>
          <w:noProof/>
          <w:color w:val="auto"/>
          <w:sz w:val="22"/>
        </w:rPr>
        <w:tab/>
      </w:r>
      <w:r>
        <w:rPr>
          <w:noProof/>
        </w:rPr>
        <w:t>Research Questions</w:t>
      </w:r>
      <w:r>
        <w:rPr>
          <w:noProof/>
          <w:webHidden/>
        </w:rPr>
        <w:tab/>
      </w:r>
      <w:r w:rsidR="001A69AC">
        <w:rPr>
          <w:noProof/>
          <w:webHidden/>
        </w:rPr>
        <w:fldChar w:fldCharType="begin"/>
      </w:r>
      <w:r>
        <w:rPr>
          <w:noProof/>
          <w:webHidden/>
        </w:rPr>
        <w:instrText xml:space="preserve"> PAGEREF _Toc33015844 \h </w:instrText>
      </w:r>
      <w:r w:rsidR="001A69AC">
        <w:rPr>
          <w:noProof/>
          <w:webHidden/>
        </w:rPr>
      </w:r>
      <w:r w:rsidR="001A69AC">
        <w:rPr>
          <w:noProof/>
          <w:webHidden/>
        </w:rPr>
        <w:fldChar w:fldCharType="separate"/>
      </w:r>
      <w:r>
        <w:rPr>
          <w:noProof/>
          <w:webHidden/>
        </w:rPr>
        <w:t>16</w:t>
      </w:r>
      <w:r w:rsidR="001A69AC">
        <w:rPr>
          <w:noProof/>
          <w:webHidden/>
        </w:rPr>
        <w:fldChar w:fldCharType="end"/>
      </w:r>
    </w:p>
    <w:p w:rsidR="009C344D" w:rsidRDefault="009C344D">
      <w:pPr>
        <w:pStyle w:val="TOC3"/>
        <w:tabs>
          <w:tab w:val="left" w:pos="1260"/>
        </w:tabs>
        <w:rPr>
          <w:rFonts w:asciiTheme="minorHAnsi" w:eastAsiaTheme="minorEastAsia" w:hAnsiTheme="minorHAnsi" w:cstheme="minorBidi"/>
          <w:noProof/>
          <w:color w:val="auto"/>
          <w:sz w:val="22"/>
        </w:rPr>
      </w:pPr>
      <w:r>
        <w:rPr>
          <w:noProof/>
        </w:rPr>
        <w:t>3.1.1</w:t>
      </w:r>
      <w:r>
        <w:rPr>
          <w:rFonts w:asciiTheme="minorHAnsi" w:eastAsiaTheme="minorEastAsia" w:hAnsiTheme="minorHAnsi" w:cstheme="minorBidi"/>
          <w:noProof/>
          <w:color w:val="auto"/>
          <w:sz w:val="22"/>
        </w:rPr>
        <w:tab/>
      </w:r>
      <w:r>
        <w:rPr>
          <w:noProof/>
        </w:rPr>
        <w:t>Tenure and Affordability</w:t>
      </w:r>
      <w:r>
        <w:rPr>
          <w:noProof/>
          <w:webHidden/>
        </w:rPr>
        <w:tab/>
      </w:r>
      <w:r w:rsidR="001A69AC">
        <w:rPr>
          <w:noProof/>
          <w:webHidden/>
        </w:rPr>
        <w:fldChar w:fldCharType="begin"/>
      </w:r>
      <w:r>
        <w:rPr>
          <w:noProof/>
          <w:webHidden/>
        </w:rPr>
        <w:instrText xml:space="preserve"> PAGEREF _Toc33015845 \h </w:instrText>
      </w:r>
      <w:r w:rsidR="001A69AC">
        <w:rPr>
          <w:noProof/>
          <w:webHidden/>
        </w:rPr>
      </w:r>
      <w:r w:rsidR="001A69AC">
        <w:rPr>
          <w:noProof/>
          <w:webHidden/>
        </w:rPr>
        <w:fldChar w:fldCharType="separate"/>
      </w:r>
      <w:r>
        <w:rPr>
          <w:noProof/>
          <w:webHidden/>
        </w:rPr>
        <w:t>16</w:t>
      </w:r>
      <w:r w:rsidR="001A69AC">
        <w:rPr>
          <w:noProof/>
          <w:webHidden/>
        </w:rPr>
        <w:fldChar w:fldCharType="end"/>
      </w:r>
    </w:p>
    <w:p w:rsidR="009C344D" w:rsidRDefault="009C344D">
      <w:pPr>
        <w:pStyle w:val="TOC3"/>
        <w:tabs>
          <w:tab w:val="left" w:pos="1260"/>
        </w:tabs>
        <w:rPr>
          <w:rFonts w:asciiTheme="minorHAnsi" w:eastAsiaTheme="minorEastAsia" w:hAnsiTheme="minorHAnsi" w:cstheme="minorBidi"/>
          <w:noProof/>
          <w:color w:val="auto"/>
          <w:sz w:val="22"/>
        </w:rPr>
      </w:pPr>
      <w:r>
        <w:rPr>
          <w:noProof/>
        </w:rPr>
        <w:t>3.1.2</w:t>
      </w:r>
      <w:r>
        <w:rPr>
          <w:rFonts w:asciiTheme="minorHAnsi" w:eastAsiaTheme="minorEastAsia" w:hAnsiTheme="minorHAnsi" w:cstheme="minorBidi"/>
          <w:noProof/>
          <w:color w:val="auto"/>
          <w:sz w:val="22"/>
        </w:rPr>
        <w:tab/>
      </w:r>
      <w:r>
        <w:rPr>
          <w:noProof/>
        </w:rPr>
        <w:t>Type and Size</w:t>
      </w:r>
      <w:r>
        <w:rPr>
          <w:noProof/>
          <w:webHidden/>
        </w:rPr>
        <w:tab/>
      </w:r>
      <w:r w:rsidR="001A69AC">
        <w:rPr>
          <w:noProof/>
          <w:webHidden/>
        </w:rPr>
        <w:fldChar w:fldCharType="begin"/>
      </w:r>
      <w:r>
        <w:rPr>
          <w:noProof/>
          <w:webHidden/>
        </w:rPr>
        <w:instrText xml:space="preserve"> PAGEREF _Toc33015846 \h </w:instrText>
      </w:r>
      <w:r w:rsidR="001A69AC">
        <w:rPr>
          <w:noProof/>
          <w:webHidden/>
        </w:rPr>
      </w:r>
      <w:r w:rsidR="001A69AC">
        <w:rPr>
          <w:noProof/>
          <w:webHidden/>
        </w:rPr>
        <w:fldChar w:fldCharType="separate"/>
      </w:r>
      <w:r>
        <w:rPr>
          <w:noProof/>
          <w:webHidden/>
        </w:rPr>
        <w:t>16</w:t>
      </w:r>
      <w:r w:rsidR="001A69AC">
        <w:rPr>
          <w:noProof/>
          <w:webHidden/>
        </w:rPr>
        <w:fldChar w:fldCharType="end"/>
      </w:r>
    </w:p>
    <w:p w:rsidR="009C344D" w:rsidRDefault="009C344D">
      <w:pPr>
        <w:pStyle w:val="TOC2"/>
        <w:tabs>
          <w:tab w:val="left" w:pos="1134"/>
        </w:tabs>
        <w:rPr>
          <w:rFonts w:asciiTheme="minorHAnsi" w:eastAsiaTheme="minorEastAsia" w:hAnsiTheme="minorHAnsi" w:cstheme="minorBidi"/>
          <w:noProof/>
          <w:color w:val="auto"/>
          <w:sz w:val="22"/>
        </w:rPr>
      </w:pPr>
      <w:r>
        <w:rPr>
          <w:noProof/>
        </w:rPr>
        <w:t>3.2</w:t>
      </w:r>
      <w:r>
        <w:rPr>
          <w:rFonts w:asciiTheme="minorHAnsi" w:eastAsiaTheme="minorEastAsia" w:hAnsiTheme="minorHAnsi" w:cstheme="minorBidi"/>
          <w:noProof/>
          <w:color w:val="auto"/>
          <w:sz w:val="22"/>
        </w:rPr>
        <w:tab/>
      </w:r>
      <w:r>
        <w:rPr>
          <w:noProof/>
        </w:rPr>
        <w:t>Relevant Data</w:t>
      </w:r>
      <w:r>
        <w:rPr>
          <w:noProof/>
          <w:webHidden/>
        </w:rPr>
        <w:tab/>
      </w:r>
      <w:r w:rsidR="001A69AC">
        <w:rPr>
          <w:noProof/>
          <w:webHidden/>
        </w:rPr>
        <w:fldChar w:fldCharType="begin"/>
      </w:r>
      <w:r>
        <w:rPr>
          <w:noProof/>
          <w:webHidden/>
        </w:rPr>
        <w:instrText xml:space="preserve"> PAGEREF _Toc33015847 \h </w:instrText>
      </w:r>
      <w:r w:rsidR="001A69AC">
        <w:rPr>
          <w:noProof/>
          <w:webHidden/>
        </w:rPr>
      </w:r>
      <w:r w:rsidR="001A69AC">
        <w:rPr>
          <w:noProof/>
          <w:webHidden/>
        </w:rPr>
        <w:fldChar w:fldCharType="separate"/>
      </w:r>
      <w:r>
        <w:rPr>
          <w:noProof/>
          <w:webHidden/>
        </w:rPr>
        <w:t>17</w:t>
      </w:r>
      <w:r w:rsidR="001A69AC">
        <w:rPr>
          <w:noProof/>
          <w:webHidden/>
        </w:rPr>
        <w:fldChar w:fldCharType="end"/>
      </w:r>
    </w:p>
    <w:p w:rsidR="009C344D" w:rsidRDefault="009C344D">
      <w:pPr>
        <w:pStyle w:val="TOC3"/>
        <w:tabs>
          <w:tab w:val="left" w:pos="1260"/>
        </w:tabs>
        <w:rPr>
          <w:rFonts w:asciiTheme="minorHAnsi" w:eastAsiaTheme="minorEastAsia" w:hAnsiTheme="minorHAnsi" w:cstheme="minorBidi"/>
          <w:noProof/>
          <w:color w:val="auto"/>
          <w:sz w:val="22"/>
        </w:rPr>
      </w:pPr>
      <w:r>
        <w:rPr>
          <w:noProof/>
        </w:rPr>
        <w:t>3.2.1</w:t>
      </w:r>
      <w:r>
        <w:rPr>
          <w:rFonts w:asciiTheme="minorHAnsi" w:eastAsiaTheme="minorEastAsia" w:hAnsiTheme="minorHAnsi" w:cstheme="minorBidi"/>
          <w:noProof/>
          <w:color w:val="auto"/>
          <w:sz w:val="22"/>
        </w:rPr>
        <w:tab/>
      </w:r>
      <w:r>
        <w:rPr>
          <w:noProof/>
        </w:rPr>
        <w:t>Local authority evidence base</w:t>
      </w:r>
      <w:r>
        <w:rPr>
          <w:noProof/>
          <w:webHidden/>
        </w:rPr>
        <w:tab/>
      </w:r>
      <w:r w:rsidR="001A69AC">
        <w:rPr>
          <w:noProof/>
          <w:webHidden/>
        </w:rPr>
        <w:fldChar w:fldCharType="begin"/>
      </w:r>
      <w:r>
        <w:rPr>
          <w:noProof/>
          <w:webHidden/>
        </w:rPr>
        <w:instrText xml:space="preserve"> PAGEREF _Toc33015848 \h </w:instrText>
      </w:r>
      <w:r w:rsidR="001A69AC">
        <w:rPr>
          <w:noProof/>
          <w:webHidden/>
        </w:rPr>
      </w:r>
      <w:r w:rsidR="001A69AC">
        <w:rPr>
          <w:noProof/>
          <w:webHidden/>
        </w:rPr>
        <w:fldChar w:fldCharType="separate"/>
      </w:r>
      <w:r>
        <w:rPr>
          <w:noProof/>
          <w:webHidden/>
        </w:rPr>
        <w:t>17</w:t>
      </w:r>
      <w:r w:rsidR="001A69AC">
        <w:rPr>
          <w:noProof/>
          <w:webHidden/>
        </w:rPr>
        <w:fldChar w:fldCharType="end"/>
      </w:r>
    </w:p>
    <w:p w:rsidR="009C344D" w:rsidRDefault="009C344D">
      <w:pPr>
        <w:pStyle w:val="TOC3"/>
        <w:tabs>
          <w:tab w:val="left" w:pos="1260"/>
        </w:tabs>
        <w:rPr>
          <w:rFonts w:asciiTheme="minorHAnsi" w:eastAsiaTheme="minorEastAsia" w:hAnsiTheme="minorHAnsi" w:cstheme="minorBidi"/>
          <w:noProof/>
          <w:color w:val="auto"/>
          <w:sz w:val="22"/>
        </w:rPr>
      </w:pPr>
      <w:r>
        <w:rPr>
          <w:noProof/>
        </w:rPr>
        <w:t>3.2.2</w:t>
      </w:r>
      <w:r>
        <w:rPr>
          <w:rFonts w:asciiTheme="minorHAnsi" w:eastAsiaTheme="minorEastAsia" w:hAnsiTheme="minorHAnsi" w:cstheme="minorBidi"/>
          <w:noProof/>
          <w:color w:val="auto"/>
          <w:sz w:val="22"/>
        </w:rPr>
        <w:tab/>
      </w:r>
      <w:r>
        <w:rPr>
          <w:noProof/>
        </w:rPr>
        <w:t>Other relevant data</w:t>
      </w:r>
      <w:r>
        <w:rPr>
          <w:noProof/>
          <w:webHidden/>
        </w:rPr>
        <w:tab/>
      </w:r>
      <w:r w:rsidR="001A69AC">
        <w:rPr>
          <w:noProof/>
          <w:webHidden/>
        </w:rPr>
        <w:fldChar w:fldCharType="begin"/>
      </w:r>
      <w:r>
        <w:rPr>
          <w:noProof/>
          <w:webHidden/>
        </w:rPr>
        <w:instrText xml:space="preserve"> PAGEREF _Toc33015849 \h </w:instrText>
      </w:r>
      <w:r w:rsidR="001A69AC">
        <w:rPr>
          <w:noProof/>
          <w:webHidden/>
        </w:rPr>
      </w:r>
      <w:r w:rsidR="001A69AC">
        <w:rPr>
          <w:noProof/>
          <w:webHidden/>
        </w:rPr>
        <w:fldChar w:fldCharType="separate"/>
      </w:r>
      <w:r>
        <w:rPr>
          <w:noProof/>
          <w:webHidden/>
        </w:rPr>
        <w:t>17</w:t>
      </w:r>
      <w:r w:rsidR="001A69AC">
        <w:rPr>
          <w:noProof/>
          <w:webHidden/>
        </w:rPr>
        <w:fldChar w:fldCharType="end"/>
      </w:r>
    </w:p>
    <w:p w:rsidR="009C344D" w:rsidRDefault="009C344D">
      <w:pPr>
        <w:pStyle w:val="TOC1"/>
        <w:rPr>
          <w:rFonts w:asciiTheme="minorHAnsi" w:eastAsiaTheme="minorEastAsia" w:hAnsiTheme="minorHAnsi" w:cstheme="minorBidi"/>
          <w:noProof/>
          <w:color w:val="auto"/>
          <w:sz w:val="22"/>
        </w:rPr>
      </w:pPr>
      <w:r>
        <w:rPr>
          <w:noProof/>
        </w:rPr>
        <w:t>4.</w:t>
      </w:r>
      <w:r>
        <w:rPr>
          <w:rFonts w:asciiTheme="minorHAnsi" w:eastAsiaTheme="minorEastAsia" w:hAnsiTheme="minorHAnsi" w:cstheme="minorBidi"/>
          <w:noProof/>
          <w:color w:val="auto"/>
          <w:sz w:val="22"/>
        </w:rPr>
        <w:tab/>
      </w:r>
      <w:r>
        <w:rPr>
          <w:noProof/>
        </w:rPr>
        <w:t>RQ 1: Tenure and Affordability</w:t>
      </w:r>
      <w:r>
        <w:rPr>
          <w:noProof/>
          <w:webHidden/>
        </w:rPr>
        <w:tab/>
      </w:r>
      <w:r w:rsidR="001A69AC">
        <w:rPr>
          <w:noProof/>
          <w:webHidden/>
        </w:rPr>
        <w:fldChar w:fldCharType="begin"/>
      </w:r>
      <w:r>
        <w:rPr>
          <w:noProof/>
          <w:webHidden/>
        </w:rPr>
        <w:instrText xml:space="preserve"> PAGEREF _Toc33015850 \h </w:instrText>
      </w:r>
      <w:r w:rsidR="001A69AC">
        <w:rPr>
          <w:noProof/>
          <w:webHidden/>
        </w:rPr>
      </w:r>
      <w:r w:rsidR="001A69AC">
        <w:rPr>
          <w:noProof/>
          <w:webHidden/>
        </w:rPr>
        <w:fldChar w:fldCharType="separate"/>
      </w:r>
      <w:r>
        <w:rPr>
          <w:noProof/>
          <w:webHidden/>
        </w:rPr>
        <w:t>18</w:t>
      </w:r>
      <w:r w:rsidR="001A69AC">
        <w:rPr>
          <w:noProof/>
          <w:webHidden/>
        </w:rPr>
        <w:fldChar w:fldCharType="end"/>
      </w:r>
    </w:p>
    <w:p w:rsidR="009C344D" w:rsidRDefault="009C344D">
      <w:pPr>
        <w:pStyle w:val="TOC2"/>
        <w:tabs>
          <w:tab w:val="left" w:pos="1134"/>
        </w:tabs>
        <w:rPr>
          <w:rFonts w:asciiTheme="minorHAnsi" w:eastAsiaTheme="minorEastAsia" w:hAnsiTheme="minorHAnsi" w:cstheme="minorBidi"/>
          <w:noProof/>
          <w:color w:val="auto"/>
          <w:sz w:val="22"/>
        </w:rPr>
      </w:pPr>
      <w:r>
        <w:rPr>
          <w:noProof/>
        </w:rPr>
        <w:t>4.1</w:t>
      </w:r>
      <w:r>
        <w:rPr>
          <w:rFonts w:asciiTheme="minorHAnsi" w:eastAsiaTheme="minorEastAsia" w:hAnsiTheme="minorHAnsi" w:cstheme="minorBidi"/>
          <w:noProof/>
          <w:color w:val="auto"/>
          <w:sz w:val="22"/>
        </w:rPr>
        <w:tab/>
      </w:r>
      <w:r>
        <w:rPr>
          <w:noProof/>
        </w:rPr>
        <w:t>Introduction</w:t>
      </w:r>
      <w:r>
        <w:rPr>
          <w:noProof/>
          <w:webHidden/>
        </w:rPr>
        <w:tab/>
      </w:r>
      <w:r w:rsidR="001A69AC">
        <w:rPr>
          <w:noProof/>
          <w:webHidden/>
        </w:rPr>
        <w:fldChar w:fldCharType="begin"/>
      </w:r>
      <w:r>
        <w:rPr>
          <w:noProof/>
          <w:webHidden/>
        </w:rPr>
        <w:instrText xml:space="preserve"> PAGEREF _Toc33015851 \h </w:instrText>
      </w:r>
      <w:r w:rsidR="001A69AC">
        <w:rPr>
          <w:noProof/>
          <w:webHidden/>
        </w:rPr>
      </w:r>
      <w:r w:rsidR="001A69AC">
        <w:rPr>
          <w:noProof/>
          <w:webHidden/>
        </w:rPr>
        <w:fldChar w:fldCharType="separate"/>
      </w:r>
      <w:r>
        <w:rPr>
          <w:noProof/>
          <w:webHidden/>
        </w:rPr>
        <w:t>18</w:t>
      </w:r>
      <w:r w:rsidR="001A69AC">
        <w:rPr>
          <w:noProof/>
          <w:webHidden/>
        </w:rPr>
        <w:fldChar w:fldCharType="end"/>
      </w:r>
    </w:p>
    <w:p w:rsidR="009C344D" w:rsidRDefault="009C344D">
      <w:pPr>
        <w:pStyle w:val="TOC2"/>
        <w:tabs>
          <w:tab w:val="left" w:pos="1134"/>
        </w:tabs>
        <w:rPr>
          <w:rFonts w:asciiTheme="minorHAnsi" w:eastAsiaTheme="minorEastAsia" w:hAnsiTheme="minorHAnsi" w:cstheme="minorBidi"/>
          <w:noProof/>
          <w:color w:val="auto"/>
          <w:sz w:val="22"/>
        </w:rPr>
      </w:pPr>
      <w:r>
        <w:rPr>
          <w:noProof/>
        </w:rPr>
        <w:t>4.2</w:t>
      </w:r>
      <w:r>
        <w:rPr>
          <w:rFonts w:asciiTheme="minorHAnsi" w:eastAsiaTheme="minorEastAsia" w:hAnsiTheme="minorHAnsi" w:cstheme="minorBidi"/>
          <w:noProof/>
          <w:color w:val="auto"/>
          <w:sz w:val="22"/>
        </w:rPr>
        <w:tab/>
      </w:r>
      <w:r>
        <w:rPr>
          <w:noProof/>
        </w:rPr>
        <w:t>Definitions</w:t>
      </w:r>
      <w:r>
        <w:rPr>
          <w:noProof/>
          <w:webHidden/>
        </w:rPr>
        <w:tab/>
      </w:r>
      <w:r w:rsidR="001A69AC">
        <w:rPr>
          <w:noProof/>
          <w:webHidden/>
        </w:rPr>
        <w:fldChar w:fldCharType="begin"/>
      </w:r>
      <w:r>
        <w:rPr>
          <w:noProof/>
          <w:webHidden/>
        </w:rPr>
        <w:instrText xml:space="preserve"> PAGEREF _Toc33015852 \h </w:instrText>
      </w:r>
      <w:r w:rsidR="001A69AC">
        <w:rPr>
          <w:noProof/>
          <w:webHidden/>
        </w:rPr>
      </w:r>
      <w:r w:rsidR="001A69AC">
        <w:rPr>
          <w:noProof/>
          <w:webHidden/>
        </w:rPr>
        <w:fldChar w:fldCharType="separate"/>
      </w:r>
      <w:r>
        <w:rPr>
          <w:noProof/>
          <w:webHidden/>
        </w:rPr>
        <w:t>18</w:t>
      </w:r>
      <w:r w:rsidR="001A69AC">
        <w:rPr>
          <w:noProof/>
          <w:webHidden/>
        </w:rPr>
        <w:fldChar w:fldCharType="end"/>
      </w:r>
    </w:p>
    <w:p w:rsidR="009C344D" w:rsidRDefault="009C344D">
      <w:pPr>
        <w:pStyle w:val="TOC2"/>
        <w:tabs>
          <w:tab w:val="left" w:pos="1134"/>
        </w:tabs>
        <w:rPr>
          <w:rFonts w:asciiTheme="minorHAnsi" w:eastAsiaTheme="minorEastAsia" w:hAnsiTheme="minorHAnsi" w:cstheme="minorBidi"/>
          <w:noProof/>
          <w:color w:val="auto"/>
          <w:sz w:val="22"/>
        </w:rPr>
      </w:pPr>
      <w:r>
        <w:rPr>
          <w:noProof/>
        </w:rPr>
        <w:t>4.3</w:t>
      </w:r>
      <w:r>
        <w:rPr>
          <w:rFonts w:asciiTheme="minorHAnsi" w:eastAsiaTheme="minorEastAsia" w:hAnsiTheme="minorHAnsi" w:cstheme="minorBidi"/>
          <w:noProof/>
          <w:color w:val="auto"/>
          <w:sz w:val="22"/>
        </w:rPr>
        <w:tab/>
      </w:r>
      <w:r>
        <w:rPr>
          <w:noProof/>
        </w:rPr>
        <w:t>Current tenure profile</w:t>
      </w:r>
      <w:r>
        <w:rPr>
          <w:noProof/>
          <w:webHidden/>
        </w:rPr>
        <w:tab/>
      </w:r>
      <w:r w:rsidR="001A69AC">
        <w:rPr>
          <w:noProof/>
          <w:webHidden/>
        </w:rPr>
        <w:fldChar w:fldCharType="begin"/>
      </w:r>
      <w:r>
        <w:rPr>
          <w:noProof/>
          <w:webHidden/>
        </w:rPr>
        <w:instrText xml:space="preserve"> PAGEREF _Toc33015853 \h </w:instrText>
      </w:r>
      <w:r w:rsidR="001A69AC">
        <w:rPr>
          <w:noProof/>
          <w:webHidden/>
        </w:rPr>
      </w:r>
      <w:r w:rsidR="001A69AC">
        <w:rPr>
          <w:noProof/>
          <w:webHidden/>
        </w:rPr>
        <w:fldChar w:fldCharType="separate"/>
      </w:r>
      <w:r>
        <w:rPr>
          <w:noProof/>
          <w:webHidden/>
        </w:rPr>
        <w:t>18</w:t>
      </w:r>
      <w:r w:rsidR="001A69AC">
        <w:rPr>
          <w:noProof/>
          <w:webHidden/>
        </w:rPr>
        <w:fldChar w:fldCharType="end"/>
      </w:r>
    </w:p>
    <w:p w:rsidR="009C344D" w:rsidRDefault="009C344D">
      <w:pPr>
        <w:pStyle w:val="TOC2"/>
        <w:tabs>
          <w:tab w:val="left" w:pos="1134"/>
        </w:tabs>
        <w:rPr>
          <w:rFonts w:asciiTheme="minorHAnsi" w:eastAsiaTheme="minorEastAsia" w:hAnsiTheme="minorHAnsi" w:cstheme="minorBidi"/>
          <w:noProof/>
          <w:color w:val="auto"/>
          <w:sz w:val="22"/>
        </w:rPr>
      </w:pPr>
      <w:r>
        <w:rPr>
          <w:noProof/>
        </w:rPr>
        <w:t>4.4</w:t>
      </w:r>
      <w:r>
        <w:rPr>
          <w:rFonts w:asciiTheme="minorHAnsi" w:eastAsiaTheme="minorEastAsia" w:hAnsiTheme="minorHAnsi" w:cstheme="minorBidi"/>
          <w:noProof/>
          <w:color w:val="auto"/>
          <w:sz w:val="22"/>
        </w:rPr>
        <w:tab/>
      </w:r>
      <w:r>
        <w:rPr>
          <w:noProof/>
        </w:rPr>
        <w:t>Affordability by tenure</w:t>
      </w:r>
      <w:r>
        <w:rPr>
          <w:noProof/>
          <w:webHidden/>
        </w:rPr>
        <w:tab/>
      </w:r>
      <w:r w:rsidR="001A69AC">
        <w:rPr>
          <w:noProof/>
          <w:webHidden/>
        </w:rPr>
        <w:fldChar w:fldCharType="begin"/>
      </w:r>
      <w:r>
        <w:rPr>
          <w:noProof/>
          <w:webHidden/>
        </w:rPr>
        <w:instrText xml:space="preserve"> PAGEREF _Toc33015854 \h </w:instrText>
      </w:r>
      <w:r w:rsidR="001A69AC">
        <w:rPr>
          <w:noProof/>
          <w:webHidden/>
        </w:rPr>
      </w:r>
      <w:r w:rsidR="001A69AC">
        <w:rPr>
          <w:noProof/>
          <w:webHidden/>
        </w:rPr>
        <w:fldChar w:fldCharType="separate"/>
      </w:r>
      <w:r>
        <w:rPr>
          <w:noProof/>
          <w:webHidden/>
        </w:rPr>
        <w:t>19</w:t>
      </w:r>
      <w:r w:rsidR="001A69AC">
        <w:rPr>
          <w:noProof/>
          <w:webHidden/>
        </w:rPr>
        <w:fldChar w:fldCharType="end"/>
      </w:r>
    </w:p>
    <w:p w:rsidR="009C344D" w:rsidRDefault="009C344D">
      <w:pPr>
        <w:pStyle w:val="TOC3"/>
        <w:tabs>
          <w:tab w:val="left" w:pos="1260"/>
        </w:tabs>
        <w:rPr>
          <w:rFonts w:asciiTheme="minorHAnsi" w:eastAsiaTheme="minorEastAsia" w:hAnsiTheme="minorHAnsi" w:cstheme="minorBidi"/>
          <w:noProof/>
          <w:color w:val="auto"/>
          <w:sz w:val="22"/>
        </w:rPr>
      </w:pPr>
      <w:r>
        <w:rPr>
          <w:noProof/>
        </w:rPr>
        <w:t>4.4.1</w:t>
      </w:r>
      <w:r>
        <w:rPr>
          <w:rFonts w:asciiTheme="minorHAnsi" w:eastAsiaTheme="minorEastAsia" w:hAnsiTheme="minorHAnsi" w:cstheme="minorBidi"/>
          <w:noProof/>
          <w:color w:val="auto"/>
          <w:sz w:val="22"/>
        </w:rPr>
        <w:tab/>
      </w:r>
      <w:r>
        <w:rPr>
          <w:noProof/>
        </w:rPr>
        <w:t>House prices</w:t>
      </w:r>
      <w:r>
        <w:rPr>
          <w:noProof/>
          <w:webHidden/>
        </w:rPr>
        <w:tab/>
      </w:r>
      <w:r w:rsidR="001A69AC">
        <w:rPr>
          <w:noProof/>
          <w:webHidden/>
        </w:rPr>
        <w:fldChar w:fldCharType="begin"/>
      </w:r>
      <w:r>
        <w:rPr>
          <w:noProof/>
          <w:webHidden/>
        </w:rPr>
        <w:instrText xml:space="preserve"> PAGEREF _Toc33015855 \h </w:instrText>
      </w:r>
      <w:r w:rsidR="001A69AC">
        <w:rPr>
          <w:noProof/>
          <w:webHidden/>
        </w:rPr>
      </w:r>
      <w:r w:rsidR="001A69AC">
        <w:rPr>
          <w:noProof/>
          <w:webHidden/>
        </w:rPr>
        <w:fldChar w:fldCharType="separate"/>
      </w:r>
      <w:r>
        <w:rPr>
          <w:noProof/>
          <w:webHidden/>
        </w:rPr>
        <w:t>19</w:t>
      </w:r>
      <w:r w:rsidR="001A69AC">
        <w:rPr>
          <w:noProof/>
          <w:webHidden/>
        </w:rPr>
        <w:fldChar w:fldCharType="end"/>
      </w:r>
    </w:p>
    <w:p w:rsidR="009C344D" w:rsidRDefault="009C344D">
      <w:pPr>
        <w:pStyle w:val="TOC3"/>
        <w:tabs>
          <w:tab w:val="left" w:pos="1260"/>
        </w:tabs>
        <w:rPr>
          <w:rFonts w:asciiTheme="minorHAnsi" w:eastAsiaTheme="minorEastAsia" w:hAnsiTheme="minorHAnsi" w:cstheme="minorBidi"/>
          <w:noProof/>
          <w:color w:val="auto"/>
          <w:sz w:val="22"/>
        </w:rPr>
      </w:pPr>
      <w:r>
        <w:rPr>
          <w:noProof/>
        </w:rPr>
        <w:t>4.4.2</w:t>
      </w:r>
      <w:r>
        <w:rPr>
          <w:rFonts w:asciiTheme="minorHAnsi" w:eastAsiaTheme="minorEastAsia" w:hAnsiTheme="minorHAnsi" w:cstheme="minorBidi"/>
          <w:noProof/>
          <w:color w:val="auto"/>
          <w:sz w:val="22"/>
        </w:rPr>
        <w:tab/>
      </w:r>
      <w:r>
        <w:rPr>
          <w:noProof/>
        </w:rPr>
        <w:t>Income</w:t>
      </w:r>
      <w:r>
        <w:rPr>
          <w:noProof/>
          <w:webHidden/>
        </w:rPr>
        <w:tab/>
      </w:r>
      <w:r w:rsidR="001A69AC">
        <w:rPr>
          <w:noProof/>
          <w:webHidden/>
        </w:rPr>
        <w:fldChar w:fldCharType="begin"/>
      </w:r>
      <w:r>
        <w:rPr>
          <w:noProof/>
          <w:webHidden/>
        </w:rPr>
        <w:instrText xml:space="preserve"> PAGEREF _Toc33015856 \h </w:instrText>
      </w:r>
      <w:r w:rsidR="001A69AC">
        <w:rPr>
          <w:noProof/>
          <w:webHidden/>
        </w:rPr>
      </w:r>
      <w:r w:rsidR="001A69AC">
        <w:rPr>
          <w:noProof/>
          <w:webHidden/>
        </w:rPr>
        <w:fldChar w:fldCharType="separate"/>
      </w:r>
      <w:r>
        <w:rPr>
          <w:noProof/>
          <w:webHidden/>
        </w:rPr>
        <w:t>20</w:t>
      </w:r>
      <w:r w:rsidR="001A69AC">
        <w:rPr>
          <w:noProof/>
          <w:webHidden/>
        </w:rPr>
        <w:fldChar w:fldCharType="end"/>
      </w:r>
    </w:p>
    <w:p w:rsidR="009C344D" w:rsidRDefault="009C344D">
      <w:pPr>
        <w:pStyle w:val="TOC3"/>
        <w:tabs>
          <w:tab w:val="left" w:pos="1260"/>
        </w:tabs>
        <w:rPr>
          <w:rFonts w:asciiTheme="minorHAnsi" w:eastAsiaTheme="minorEastAsia" w:hAnsiTheme="minorHAnsi" w:cstheme="minorBidi"/>
          <w:noProof/>
          <w:color w:val="auto"/>
          <w:sz w:val="22"/>
        </w:rPr>
      </w:pPr>
      <w:r>
        <w:rPr>
          <w:noProof/>
        </w:rPr>
        <w:t>4.4.3</w:t>
      </w:r>
      <w:r>
        <w:rPr>
          <w:rFonts w:asciiTheme="minorHAnsi" w:eastAsiaTheme="minorEastAsia" w:hAnsiTheme="minorHAnsi" w:cstheme="minorBidi"/>
          <w:noProof/>
          <w:color w:val="auto"/>
          <w:sz w:val="22"/>
        </w:rPr>
        <w:tab/>
      </w:r>
      <w:r>
        <w:rPr>
          <w:noProof/>
        </w:rPr>
        <w:t>Affordability Thresholds</w:t>
      </w:r>
      <w:r>
        <w:rPr>
          <w:noProof/>
          <w:webHidden/>
        </w:rPr>
        <w:tab/>
      </w:r>
      <w:r w:rsidR="001A69AC">
        <w:rPr>
          <w:noProof/>
          <w:webHidden/>
        </w:rPr>
        <w:fldChar w:fldCharType="begin"/>
      </w:r>
      <w:r>
        <w:rPr>
          <w:noProof/>
          <w:webHidden/>
        </w:rPr>
        <w:instrText xml:space="preserve"> PAGEREF _Toc33015857 \h </w:instrText>
      </w:r>
      <w:r w:rsidR="001A69AC">
        <w:rPr>
          <w:noProof/>
          <w:webHidden/>
        </w:rPr>
      </w:r>
      <w:r w:rsidR="001A69AC">
        <w:rPr>
          <w:noProof/>
          <w:webHidden/>
        </w:rPr>
        <w:fldChar w:fldCharType="separate"/>
      </w:r>
      <w:r>
        <w:rPr>
          <w:noProof/>
          <w:webHidden/>
        </w:rPr>
        <w:t>21</w:t>
      </w:r>
      <w:r w:rsidR="001A69AC">
        <w:rPr>
          <w:noProof/>
          <w:webHidden/>
        </w:rPr>
        <w:fldChar w:fldCharType="end"/>
      </w:r>
    </w:p>
    <w:p w:rsidR="009C344D" w:rsidRDefault="009C344D">
      <w:pPr>
        <w:pStyle w:val="TOC3"/>
        <w:tabs>
          <w:tab w:val="left" w:pos="1260"/>
        </w:tabs>
        <w:rPr>
          <w:rFonts w:asciiTheme="minorHAnsi" w:eastAsiaTheme="minorEastAsia" w:hAnsiTheme="minorHAnsi" w:cstheme="minorBidi"/>
          <w:noProof/>
          <w:color w:val="auto"/>
          <w:sz w:val="22"/>
        </w:rPr>
      </w:pPr>
      <w:r>
        <w:rPr>
          <w:noProof/>
        </w:rPr>
        <w:t>4.4.4</w:t>
      </w:r>
      <w:r>
        <w:rPr>
          <w:rFonts w:asciiTheme="minorHAnsi" w:eastAsiaTheme="minorEastAsia" w:hAnsiTheme="minorHAnsi" w:cstheme="minorBidi"/>
          <w:noProof/>
          <w:color w:val="auto"/>
          <w:sz w:val="22"/>
        </w:rPr>
        <w:tab/>
      </w:r>
      <w:r>
        <w:rPr>
          <w:noProof/>
        </w:rPr>
        <w:t>Affordable Housing- quantity needed</w:t>
      </w:r>
      <w:r>
        <w:rPr>
          <w:noProof/>
          <w:webHidden/>
        </w:rPr>
        <w:tab/>
      </w:r>
      <w:r w:rsidR="001A69AC">
        <w:rPr>
          <w:noProof/>
          <w:webHidden/>
        </w:rPr>
        <w:fldChar w:fldCharType="begin"/>
      </w:r>
      <w:r>
        <w:rPr>
          <w:noProof/>
          <w:webHidden/>
        </w:rPr>
        <w:instrText xml:space="preserve"> PAGEREF _Toc33015858 \h </w:instrText>
      </w:r>
      <w:r w:rsidR="001A69AC">
        <w:rPr>
          <w:noProof/>
          <w:webHidden/>
        </w:rPr>
      </w:r>
      <w:r w:rsidR="001A69AC">
        <w:rPr>
          <w:noProof/>
          <w:webHidden/>
        </w:rPr>
        <w:fldChar w:fldCharType="separate"/>
      </w:r>
      <w:r>
        <w:rPr>
          <w:noProof/>
          <w:webHidden/>
        </w:rPr>
        <w:t>24</w:t>
      </w:r>
      <w:r w:rsidR="001A69AC">
        <w:rPr>
          <w:noProof/>
          <w:webHidden/>
        </w:rPr>
        <w:fldChar w:fldCharType="end"/>
      </w:r>
    </w:p>
    <w:p w:rsidR="009C344D" w:rsidRDefault="009C344D">
      <w:pPr>
        <w:pStyle w:val="TOC2"/>
        <w:tabs>
          <w:tab w:val="left" w:pos="1134"/>
        </w:tabs>
        <w:rPr>
          <w:rFonts w:asciiTheme="minorHAnsi" w:eastAsiaTheme="minorEastAsia" w:hAnsiTheme="minorHAnsi" w:cstheme="minorBidi"/>
          <w:noProof/>
          <w:color w:val="auto"/>
          <w:sz w:val="22"/>
        </w:rPr>
      </w:pPr>
      <w:r>
        <w:rPr>
          <w:noProof/>
        </w:rPr>
        <w:t>4.5</w:t>
      </w:r>
      <w:r>
        <w:rPr>
          <w:rFonts w:asciiTheme="minorHAnsi" w:eastAsiaTheme="minorEastAsia" w:hAnsiTheme="minorHAnsi" w:cstheme="minorBidi"/>
          <w:noProof/>
          <w:color w:val="auto"/>
          <w:sz w:val="22"/>
        </w:rPr>
        <w:tab/>
      </w:r>
      <w:r>
        <w:rPr>
          <w:noProof/>
        </w:rPr>
        <w:t>Tenure Split</w:t>
      </w:r>
      <w:r>
        <w:rPr>
          <w:noProof/>
          <w:webHidden/>
        </w:rPr>
        <w:tab/>
      </w:r>
      <w:r w:rsidR="001A69AC">
        <w:rPr>
          <w:noProof/>
          <w:webHidden/>
        </w:rPr>
        <w:fldChar w:fldCharType="begin"/>
      </w:r>
      <w:r>
        <w:rPr>
          <w:noProof/>
          <w:webHidden/>
        </w:rPr>
        <w:instrText xml:space="preserve"> PAGEREF _Toc33015859 \h </w:instrText>
      </w:r>
      <w:r w:rsidR="001A69AC">
        <w:rPr>
          <w:noProof/>
          <w:webHidden/>
        </w:rPr>
      </w:r>
      <w:r w:rsidR="001A69AC">
        <w:rPr>
          <w:noProof/>
          <w:webHidden/>
        </w:rPr>
        <w:fldChar w:fldCharType="separate"/>
      </w:r>
      <w:r>
        <w:rPr>
          <w:noProof/>
          <w:webHidden/>
        </w:rPr>
        <w:t>25</w:t>
      </w:r>
      <w:r w:rsidR="001A69AC">
        <w:rPr>
          <w:noProof/>
          <w:webHidden/>
        </w:rPr>
        <w:fldChar w:fldCharType="end"/>
      </w:r>
    </w:p>
    <w:p w:rsidR="009C344D" w:rsidRDefault="009C344D">
      <w:pPr>
        <w:pStyle w:val="TOC2"/>
        <w:rPr>
          <w:rFonts w:asciiTheme="minorHAnsi" w:eastAsiaTheme="minorEastAsia" w:hAnsiTheme="minorHAnsi" w:cstheme="minorBidi"/>
          <w:noProof/>
          <w:color w:val="auto"/>
          <w:sz w:val="22"/>
        </w:rPr>
      </w:pPr>
      <w:r>
        <w:rPr>
          <w:noProof/>
        </w:rPr>
        <w:t>Conclusions- Tenure and Affordability</w:t>
      </w:r>
      <w:r>
        <w:rPr>
          <w:noProof/>
          <w:webHidden/>
        </w:rPr>
        <w:tab/>
      </w:r>
      <w:r w:rsidR="001A69AC">
        <w:rPr>
          <w:noProof/>
          <w:webHidden/>
        </w:rPr>
        <w:fldChar w:fldCharType="begin"/>
      </w:r>
      <w:r>
        <w:rPr>
          <w:noProof/>
          <w:webHidden/>
        </w:rPr>
        <w:instrText xml:space="preserve"> PAGEREF _Toc33015860 \h </w:instrText>
      </w:r>
      <w:r w:rsidR="001A69AC">
        <w:rPr>
          <w:noProof/>
          <w:webHidden/>
        </w:rPr>
      </w:r>
      <w:r w:rsidR="001A69AC">
        <w:rPr>
          <w:noProof/>
          <w:webHidden/>
        </w:rPr>
        <w:fldChar w:fldCharType="separate"/>
      </w:r>
      <w:r>
        <w:rPr>
          <w:noProof/>
          <w:webHidden/>
        </w:rPr>
        <w:t>26</w:t>
      </w:r>
      <w:r w:rsidR="001A69AC">
        <w:rPr>
          <w:noProof/>
          <w:webHidden/>
        </w:rPr>
        <w:fldChar w:fldCharType="end"/>
      </w:r>
    </w:p>
    <w:p w:rsidR="009C344D" w:rsidRDefault="009C344D">
      <w:pPr>
        <w:pStyle w:val="TOC1"/>
        <w:rPr>
          <w:rFonts w:asciiTheme="minorHAnsi" w:eastAsiaTheme="minorEastAsia" w:hAnsiTheme="minorHAnsi" w:cstheme="minorBidi"/>
          <w:noProof/>
          <w:color w:val="auto"/>
          <w:sz w:val="22"/>
        </w:rPr>
      </w:pPr>
      <w:r>
        <w:rPr>
          <w:noProof/>
        </w:rPr>
        <w:t>5.</w:t>
      </w:r>
      <w:r>
        <w:rPr>
          <w:rFonts w:asciiTheme="minorHAnsi" w:eastAsiaTheme="minorEastAsia" w:hAnsiTheme="minorHAnsi" w:cstheme="minorBidi"/>
          <w:noProof/>
          <w:color w:val="auto"/>
          <w:sz w:val="22"/>
        </w:rPr>
        <w:tab/>
      </w:r>
      <w:r>
        <w:rPr>
          <w:noProof/>
        </w:rPr>
        <w:t>RQ 2: Type and Size</w:t>
      </w:r>
      <w:r>
        <w:rPr>
          <w:noProof/>
          <w:webHidden/>
        </w:rPr>
        <w:tab/>
      </w:r>
      <w:r w:rsidR="001A69AC">
        <w:rPr>
          <w:noProof/>
          <w:webHidden/>
        </w:rPr>
        <w:fldChar w:fldCharType="begin"/>
      </w:r>
      <w:r>
        <w:rPr>
          <w:noProof/>
          <w:webHidden/>
        </w:rPr>
        <w:instrText xml:space="preserve"> PAGEREF _Toc33015861 \h </w:instrText>
      </w:r>
      <w:r w:rsidR="001A69AC">
        <w:rPr>
          <w:noProof/>
          <w:webHidden/>
        </w:rPr>
      </w:r>
      <w:r w:rsidR="001A69AC">
        <w:rPr>
          <w:noProof/>
          <w:webHidden/>
        </w:rPr>
        <w:fldChar w:fldCharType="separate"/>
      </w:r>
      <w:r>
        <w:rPr>
          <w:noProof/>
          <w:webHidden/>
        </w:rPr>
        <w:t>28</w:t>
      </w:r>
      <w:r w:rsidR="001A69AC">
        <w:rPr>
          <w:noProof/>
          <w:webHidden/>
        </w:rPr>
        <w:fldChar w:fldCharType="end"/>
      </w:r>
    </w:p>
    <w:p w:rsidR="009C344D" w:rsidRDefault="009C344D">
      <w:pPr>
        <w:pStyle w:val="TOC2"/>
        <w:tabs>
          <w:tab w:val="left" w:pos="1134"/>
        </w:tabs>
        <w:rPr>
          <w:rFonts w:asciiTheme="minorHAnsi" w:eastAsiaTheme="minorEastAsia" w:hAnsiTheme="minorHAnsi" w:cstheme="minorBidi"/>
          <w:noProof/>
          <w:color w:val="auto"/>
          <w:sz w:val="22"/>
        </w:rPr>
      </w:pPr>
      <w:r>
        <w:rPr>
          <w:noProof/>
        </w:rPr>
        <w:t>5.1</w:t>
      </w:r>
      <w:r>
        <w:rPr>
          <w:rFonts w:asciiTheme="minorHAnsi" w:eastAsiaTheme="minorEastAsia" w:hAnsiTheme="minorHAnsi" w:cstheme="minorBidi"/>
          <w:noProof/>
          <w:color w:val="auto"/>
          <w:sz w:val="22"/>
        </w:rPr>
        <w:tab/>
      </w:r>
      <w:r>
        <w:rPr>
          <w:noProof/>
        </w:rPr>
        <w:t>Introduction</w:t>
      </w:r>
      <w:r>
        <w:rPr>
          <w:noProof/>
          <w:webHidden/>
        </w:rPr>
        <w:tab/>
      </w:r>
      <w:r w:rsidR="001A69AC">
        <w:rPr>
          <w:noProof/>
          <w:webHidden/>
        </w:rPr>
        <w:fldChar w:fldCharType="begin"/>
      </w:r>
      <w:r>
        <w:rPr>
          <w:noProof/>
          <w:webHidden/>
        </w:rPr>
        <w:instrText xml:space="preserve"> PAGEREF _Toc33015862 \h </w:instrText>
      </w:r>
      <w:r w:rsidR="001A69AC">
        <w:rPr>
          <w:noProof/>
          <w:webHidden/>
        </w:rPr>
      </w:r>
      <w:r w:rsidR="001A69AC">
        <w:rPr>
          <w:noProof/>
          <w:webHidden/>
        </w:rPr>
        <w:fldChar w:fldCharType="separate"/>
      </w:r>
      <w:r>
        <w:rPr>
          <w:noProof/>
          <w:webHidden/>
        </w:rPr>
        <w:t>28</w:t>
      </w:r>
      <w:r w:rsidR="001A69AC">
        <w:rPr>
          <w:noProof/>
          <w:webHidden/>
        </w:rPr>
        <w:fldChar w:fldCharType="end"/>
      </w:r>
    </w:p>
    <w:p w:rsidR="009C344D" w:rsidRDefault="009C344D">
      <w:pPr>
        <w:pStyle w:val="TOC2"/>
        <w:tabs>
          <w:tab w:val="left" w:pos="1134"/>
        </w:tabs>
        <w:rPr>
          <w:rFonts w:asciiTheme="minorHAnsi" w:eastAsiaTheme="minorEastAsia" w:hAnsiTheme="minorHAnsi" w:cstheme="minorBidi"/>
          <w:noProof/>
          <w:color w:val="auto"/>
          <w:sz w:val="22"/>
        </w:rPr>
      </w:pPr>
      <w:r>
        <w:rPr>
          <w:noProof/>
        </w:rPr>
        <w:t>5.2</w:t>
      </w:r>
      <w:r>
        <w:rPr>
          <w:rFonts w:asciiTheme="minorHAnsi" w:eastAsiaTheme="minorEastAsia" w:hAnsiTheme="minorHAnsi" w:cstheme="minorBidi"/>
          <w:noProof/>
          <w:color w:val="auto"/>
          <w:sz w:val="22"/>
        </w:rPr>
        <w:tab/>
      </w:r>
      <w:r>
        <w:rPr>
          <w:noProof/>
        </w:rPr>
        <w:t>Existing types and sizes</w:t>
      </w:r>
      <w:r>
        <w:rPr>
          <w:noProof/>
          <w:webHidden/>
        </w:rPr>
        <w:tab/>
      </w:r>
      <w:r w:rsidR="001A69AC">
        <w:rPr>
          <w:noProof/>
          <w:webHidden/>
        </w:rPr>
        <w:fldChar w:fldCharType="begin"/>
      </w:r>
      <w:r>
        <w:rPr>
          <w:noProof/>
          <w:webHidden/>
        </w:rPr>
        <w:instrText xml:space="preserve"> PAGEREF _Toc33015863 \h </w:instrText>
      </w:r>
      <w:r w:rsidR="001A69AC">
        <w:rPr>
          <w:noProof/>
          <w:webHidden/>
        </w:rPr>
      </w:r>
      <w:r w:rsidR="001A69AC">
        <w:rPr>
          <w:noProof/>
          <w:webHidden/>
        </w:rPr>
        <w:fldChar w:fldCharType="separate"/>
      </w:r>
      <w:r>
        <w:rPr>
          <w:noProof/>
          <w:webHidden/>
        </w:rPr>
        <w:t>28</w:t>
      </w:r>
      <w:r w:rsidR="001A69AC">
        <w:rPr>
          <w:noProof/>
          <w:webHidden/>
        </w:rPr>
        <w:fldChar w:fldCharType="end"/>
      </w:r>
    </w:p>
    <w:p w:rsidR="009C344D" w:rsidRDefault="009C344D">
      <w:pPr>
        <w:pStyle w:val="TOC3"/>
        <w:tabs>
          <w:tab w:val="left" w:pos="1260"/>
        </w:tabs>
        <w:rPr>
          <w:rFonts w:asciiTheme="minorHAnsi" w:eastAsiaTheme="minorEastAsia" w:hAnsiTheme="minorHAnsi" w:cstheme="minorBidi"/>
          <w:noProof/>
          <w:color w:val="auto"/>
          <w:sz w:val="22"/>
        </w:rPr>
      </w:pPr>
      <w:r>
        <w:rPr>
          <w:noProof/>
        </w:rPr>
        <w:t>5.2.1</w:t>
      </w:r>
      <w:r>
        <w:rPr>
          <w:rFonts w:asciiTheme="minorHAnsi" w:eastAsiaTheme="minorEastAsia" w:hAnsiTheme="minorHAnsi" w:cstheme="minorBidi"/>
          <w:noProof/>
          <w:color w:val="auto"/>
          <w:sz w:val="22"/>
        </w:rPr>
        <w:tab/>
      </w:r>
      <w:r>
        <w:rPr>
          <w:noProof/>
        </w:rPr>
        <w:t>Background and definitions</w:t>
      </w:r>
      <w:r>
        <w:rPr>
          <w:noProof/>
          <w:webHidden/>
        </w:rPr>
        <w:tab/>
      </w:r>
      <w:r w:rsidR="001A69AC">
        <w:rPr>
          <w:noProof/>
          <w:webHidden/>
        </w:rPr>
        <w:fldChar w:fldCharType="begin"/>
      </w:r>
      <w:r>
        <w:rPr>
          <w:noProof/>
          <w:webHidden/>
        </w:rPr>
        <w:instrText xml:space="preserve"> PAGEREF _Toc33015864 \h </w:instrText>
      </w:r>
      <w:r w:rsidR="001A69AC">
        <w:rPr>
          <w:noProof/>
          <w:webHidden/>
        </w:rPr>
      </w:r>
      <w:r w:rsidR="001A69AC">
        <w:rPr>
          <w:noProof/>
          <w:webHidden/>
        </w:rPr>
        <w:fldChar w:fldCharType="separate"/>
      </w:r>
      <w:r>
        <w:rPr>
          <w:noProof/>
          <w:webHidden/>
        </w:rPr>
        <w:t>28</w:t>
      </w:r>
      <w:r w:rsidR="001A69AC">
        <w:rPr>
          <w:noProof/>
          <w:webHidden/>
        </w:rPr>
        <w:fldChar w:fldCharType="end"/>
      </w:r>
    </w:p>
    <w:p w:rsidR="009C344D" w:rsidRDefault="009C344D">
      <w:pPr>
        <w:pStyle w:val="TOC3"/>
        <w:tabs>
          <w:tab w:val="left" w:pos="1260"/>
        </w:tabs>
        <w:rPr>
          <w:rFonts w:asciiTheme="minorHAnsi" w:eastAsiaTheme="minorEastAsia" w:hAnsiTheme="minorHAnsi" w:cstheme="minorBidi"/>
          <w:noProof/>
          <w:color w:val="auto"/>
          <w:sz w:val="22"/>
        </w:rPr>
      </w:pPr>
      <w:r>
        <w:rPr>
          <w:noProof/>
        </w:rPr>
        <w:t>5.2.2</w:t>
      </w:r>
      <w:r>
        <w:rPr>
          <w:rFonts w:asciiTheme="minorHAnsi" w:eastAsiaTheme="minorEastAsia" w:hAnsiTheme="minorHAnsi" w:cstheme="minorBidi"/>
          <w:noProof/>
          <w:color w:val="auto"/>
          <w:sz w:val="22"/>
        </w:rPr>
        <w:tab/>
      </w:r>
      <w:r>
        <w:rPr>
          <w:noProof/>
        </w:rPr>
        <w:t>Dwelling type</w:t>
      </w:r>
      <w:r>
        <w:rPr>
          <w:noProof/>
          <w:webHidden/>
        </w:rPr>
        <w:tab/>
      </w:r>
      <w:r w:rsidR="001A69AC">
        <w:rPr>
          <w:noProof/>
          <w:webHidden/>
        </w:rPr>
        <w:fldChar w:fldCharType="begin"/>
      </w:r>
      <w:r>
        <w:rPr>
          <w:noProof/>
          <w:webHidden/>
        </w:rPr>
        <w:instrText xml:space="preserve"> PAGEREF _Toc33015865 \h </w:instrText>
      </w:r>
      <w:r w:rsidR="001A69AC">
        <w:rPr>
          <w:noProof/>
          <w:webHidden/>
        </w:rPr>
      </w:r>
      <w:r w:rsidR="001A69AC">
        <w:rPr>
          <w:noProof/>
          <w:webHidden/>
        </w:rPr>
        <w:fldChar w:fldCharType="separate"/>
      </w:r>
      <w:r>
        <w:rPr>
          <w:noProof/>
          <w:webHidden/>
        </w:rPr>
        <w:t>29</w:t>
      </w:r>
      <w:r w:rsidR="001A69AC">
        <w:rPr>
          <w:noProof/>
          <w:webHidden/>
        </w:rPr>
        <w:fldChar w:fldCharType="end"/>
      </w:r>
    </w:p>
    <w:p w:rsidR="009C344D" w:rsidRDefault="009C344D">
      <w:pPr>
        <w:pStyle w:val="TOC3"/>
        <w:tabs>
          <w:tab w:val="left" w:pos="1260"/>
        </w:tabs>
        <w:rPr>
          <w:rFonts w:asciiTheme="minorHAnsi" w:eastAsiaTheme="minorEastAsia" w:hAnsiTheme="minorHAnsi" w:cstheme="minorBidi"/>
          <w:noProof/>
          <w:color w:val="auto"/>
          <w:sz w:val="22"/>
        </w:rPr>
      </w:pPr>
      <w:r>
        <w:rPr>
          <w:noProof/>
        </w:rPr>
        <w:t>5.2.3</w:t>
      </w:r>
      <w:r>
        <w:rPr>
          <w:rFonts w:asciiTheme="minorHAnsi" w:eastAsiaTheme="minorEastAsia" w:hAnsiTheme="minorHAnsi" w:cstheme="minorBidi"/>
          <w:noProof/>
          <w:color w:val="auto"/>
          <w:sz w:val="22"/>
        </w:rPr>
        <w:tab/>
      </w:r>
      <w:r>
        <w:rPr>
          <w:noProof/>
        </w:rPr>
        <w:t>Dwelling size</w:t>
      </w:r>
      <w:r>
        <w:rPr>
          <w:noProof/>
          <w:webHidden/>
        </w:rPr>
        <w:tab/>
      </w:r>
      <w:r w:rsidR="001A69AC">
        <w:rPr>
          <w:noProof/>
          <w:webHidden/>
        </w:rPr>
        <w:fldChar w:fldCharType="begin"/>
      </w:r>
      <w:r>
        <w:rPr>
          <w:noProof/>
          <w:webHidden/>
        </w:rPr>
        <w:instrText xml:space="preserve"> PAGEREF _Toc33015866 \h </w:instrText>
      </w:r>
      <w:r w:rsidR="001A69AC">
        <w:rPr>
          <w:noProof/>
          <w:webHidden/>
        </w:rPr>
      </w:r>
      <w:r w:rsidR="001A69AC">
        <w:rPr>
          <w:noProof/>
          <w:webHidden/>
        </w:rPr>
        <w:fldChar w:fldCharType="separate"/>
      </w:r>
      <w:r>
        <w:rPr>
          <w:noProof/>
          <w:webHidden/>
        </w:rPr>
        <w:t>29</w:t>
      </w:r>
      <w:r w:rsidR="001A69AC">
        <w:rPr>
          <w:noProof/>
          <w:webHidden/>
        </w:rPr>
        <w:fldChar w:fldCharType="end"/>
      </w:r>
    </w:p>
    <w:p w:rsidR="009C344D" w:rsidRDefault="009C344D">
      <w:pPr>
        <w:pStyle w:val="TOC2"/>
        <w:tabs>
          <w:tab w:val="left" w:pos="1134"/>
        </w:tabs>
        <w:rPr>
          <w:rFonts w:asciiTheme="minorHAnsi" w:eastAsiaTheme="minorEastAsia" w:hAnsiTheme="minorHAnsi" w:cstheme="minorBidi"/>
          <w:noProof/>
          <w:color w:val="auto"/>
          <w:sz w:val="22"/>
        </w:rPr>
      </w:pPr>
      <w:r>
        <w:rPr>
          <w:noProof/>
        </w:rPr>
        <w:t>5.3</w:t>
      </w:r>
      <w:r>
        <w:rPr>
          <w:rFonts w:asciiTheme="minorHAnsi" w:eastAsiaTheme="minorEastAsia" w:hAnsiTheme="minorHAnsi" w:cstheme="minorBidi"/>
          <w:noProof/>
          <w:color w:val="auto"/>
          <w:sz w:val="22"/>
        </w:rPr>
        <w:tab/>
      </w:r>
      <w:r>
        <w:rPr>
          <w:noProof/>
        </w:rPr>
        <w:t>Household composition and age structure</w:t>
      </w:r>
      <w:r>
        <w:rPr>
          <w:noProof/>
          <w:webHidden/>
        </w:rPr>
        <w:tab/>
      </w:r>
      <w:r w:rsidR="001A69AC">
        <w:rPr>
          <w:noProof/>
          <w:webHidden/>
        </w:rPr>
        <w:fldChar w:fldCharType="begin"/>
      </w:r>
      <w:r>
        <w:rPr>
          <w:noProof/>
          <w:webHidden/>
        </w:rPr>
        <w:instrText xml:space="preserve"> PAGEREF _Toc33015867 \h </w:instrText>
      </w:r>
      <w:r w:rsidR="001A69AC">
        <w:rPr>
          <w:noProof/>
          <w:webHidden/>
        </w:rPr>
      </w:r>
      <w:r w:rsidR="001A69AC">
        <w:rPr>
          <w:noProof/>
          <w:webHidden/>
        </w:rPr>
        <w:fldChar w:fldCharType="separate"/>
      </w:r>
      <w:r>
        <w:rPr>
          <w:noProof/>
          <w:webHidden/>
        </w:rPr>
        <w:t>30</w:t>
      </w:r>
      <w:r w:rsidR="001A69AC">
        <w:rPr>
          <w:noProof/>
          <w:webHidden/>
        </w:rPr>
        <w:fldChar w:fldCharType="end"/>
      </w:r>
    </w:p>
    <w:p w:rsidR="009C344D" w:rsidRDefault="009C344D">
      <w:pPr>
        <w:pStyle w:val="TOC3"/>
        <w:tabs>
          <w:tab w:val="left" w:pos="1260"/>
        </w:tabs>
        <w:rPr>
          <w:rFonts w:asciiTheme="minorHAnsi" w:eastAsiaTheme="minorEastAsia" w:hAnsiTheme="minorHAnsi" w:cstheme="minorBidi"/>
          <w:noProof/>
          <w:color w:val="auto"/>
          <w:sz w:val="22"/>
        </w:rPr>
      </w:pPr>
      <w:r>
        <w:rPr>
          <w:noProof/>
        </w:rPr>
        <w:t>5.3.1</w:t>
      </w:r>
      <w:r>
        <w:rPr>
          <w:rFonts w:asciiTheme="minorHAnsi" w:eastAsiaTheme="minorEastAsia" w:hAnsiTheme="minorHAnsi" w:cstheme="minorBidi"/>
          <w:noProof/>
          <w:color w:val="auto"/>
          <w:sz w:val="22"/>
        </w:rPr>
        <w:tab/>
      </w:r>
      <w:r>
        <w:rPr>
          <w:noProof/>
        </w:rPr>
        <w:t>Age structure</w:t>
      </w:r>
      <w:r>
        <w:rPr>
          <w:noProof/>
          <w:webHidden/>
        </w:rPr>
        <w:tab/>
      </w:r>
      <w:r w:rsidR="001A69AC">
        <w:rPr>
          <w:noProof/>
          <w:webHidden/>
        </w:rPr>
        <w:fldChar w:fldCharType="begin"/>
      </w:r>
      <w:r>
        <w:rPr>
          <w:noProof/>
          <w:webHidden/>
        </w:rPr>
        <w:instrText xml:space="preserve"> PAGEREF _Toc33015868 \h </w:instrText>
      </w:r>
      <w:r w:rsidR="001A69AC">
        <w:rPr>
          <w:noProof/>
          <w:webHidden/>
        </w:rPr>
      </w:r>
      <w:r w:rsidR="001A69AC">
        <w:rPr>
          <w:noProof/>
          <w:webHidden/>
        </w:rPr>
        <w:fldChar w:fldCharType="separate"/>
      </w:r>
      <w:r>
        <w:rPr>
          <w:noProof/>
          <w:webHidden/>
        </w:rPr>
        <w:t>31</w:t>
      </w:r>
      <w:r w:rsidR="001A69AC">
        <w:rPr>
          <w:noProof/>
          <w:webHidden/>
        </w:rPr>
        <w:fldChar w:fldCharType="end"/>
      </w:r>
    </w:p>
    <w:p w:rsidR="009C344D" w:rsidRDefault="009C344D">
      <w:pPr>
        <w:pStyle w:val="TOC3"/>
        <w:tabs>
          <w:tab w:val="left" w:pos="1260"/>
        </w:tabs>
        <w:rPr>
          <w:rFonts w:asciiTheme="minorHAnsi" w:eastAsiaTheme="minorEastAsia" w:hAnsiTheme="minorHAnsi" w:cstheme="minorBidi"/>
          <w:noProof/>
          <w:color w:val="auto"/>
          <w:sz w:val="22"/>
        </w:rPr>
      </w:pPr>
      <w:r>
        <w:rPr>
          <w:noProof/>
        </w:rPr>
        <w:t>5.3.2</w:t>
      </w:r>
      <w:r>
        <w:rPr>
          <w:rFonts w:asciiTheme="minorHAnsi" w:eastAsiaTheme="minorEastAsia" w:hAnsiTheme="minorHAnsi" w:cstheme="minorBidi"/>
          <w:noProof/>
          <w:color w:val="auto"/>
          <w:sz w:val="22"/>
        </w:rPr>
        <w:tab/>
      </w:r>
      <w:r>
        <w:rPr>
          <w:noProof/>
        </w:rPr>
        <w:t>Household composition</w:t>
      </w:r>
      <w:r>
        <w:rPr>
          <w:noProof/>
          <w:webHidden/>
        </w:rPr>
        <w:tab/>
      </w:r>
      <w:r w:rsidR="001A69AC">
        <w:rPr>
          <w:noProof/>
          <w:webHidden/>
        </w:rPr>
        <w:fldChar w:fldCharType="begin"/>
      </w:r>
      <w:r>
        <w:rPr>
          <w:noProof/>
          <w:webHidden/>
        </w:rPr>
        <w:instrText xml:space="preserve"> PAGEREF _Toc33015869 \h </w:instrText>
      </w:r>
      <w:r w:rsidR="001A69AC">
        <w:rPr>
          <w:noProof/>
          <w:webHidden/>
        </w:rPr>
      </w:r>
      <w:r w:rsidR="001A69AC">
        <w:rPr>
          <w:noProof/>
          <w:webHidden/>
        </w:rPr>
        <w:fldChar w:fldCharType="separate"/>
      </w:r>
      <w:r>
        <w:rPr>
          <w:noProof/>
          <w:webHidden/>
        </w:rPr>
        <w:t>31</w:t>
      </w:r>
      <w:r w:rsidR="001A69AC">
        <w:rPr>
          <w:noProof/>
          <w:webHidden/>
        </w:rPr>
        <w:fldChar w:fldCharType="end"/>
      </w:r>
    </w:p>
    <w:p w:rsidR="009C344D" w:rsidRDefault="009C344D">
      <w:pPr>
        <w:pStyle w:val="TOC2"/>
        <w:tabs>
          <w:tab w:val="left" w:pos="1134"/>
        </w:tabs>
        <w:rPr>
          <w:rFonts w:asciiTheme="minorHAnsi" w:eastAsiaTheme="minorEastAsia" w:hAnsiTheme="minorHAnsi" w:cstheme="minorBidi"/>
          <w:noProof/>
          <w:color w:val="auto"/>
          <w:sz w:val="22"/>
        </w:rPr>
      </w:pPr>
      <w:r>
        <w:rPr>
          <w:noProof/>
        </w:rPr>
        <w:t>5.4</w:t>
      </w:r>
      <w:r>
        <w:rPr>
          <w:rFonts w:asciiTheme="minorHAnsi" w:eastAsiaTheme="minorEastAsia" w:hAnsiTheme="minorHAnsi" w:cstheme="minorBidi"/>
          <w:noProof/>
          <w:color w:val="auto"/>
          <w:sz w:val="22"/>
        </w:rPr>
        <w:tab/>
      </w:r>
      <w:r>
        <w:rPr>
          <w:noProof/>
        </w:rPr>
        <w:t>Dwelling mix determined by life-stage modelling</w:t>
      </w:r>
      <w:r>
        <w:rPr>
          <w:noProof/>
          <w:webHidden/>
        </w:rPr>
        <w:tab/>
      </w:r>
      <w:r w:rsidR="001A69AC">
        <w:rPr>
          <w:noProof/>
          <w:webHidden/>
        </w:rPr>
        <w:fldChar w:fldCharType="begin"/>
      </w:r>
      <w:r>
        <w:rPr>
          <w:noProof/>
          <w:webHidden/>
        </w:rPr>
        <w:instrText xml:space="preserve"> PAGEREF _Toc33015870 \h </w:instrText>
      </w:r>
      <w:r w:rsidR="001A69AC">
        <w:rPr>
          <w:noProof/>
          <w:webHidden/>
        </w:rPr>
      </w:r>
      <w:r w:rsidR="001A69AC">
        <w:rPr>
          <w:noProof/>
          <w:webHidden/>
        </w:rPr>
        <w:fldChar w:fldCharType="separate"/>
      </w:r>
      <w:r>
        <w:rPr>
          <w:noProof/>
          <w:webHidden/>
        </w:rPr>
        <w:t>32</w:t>
      </w:r>
      <w:r w:rsidR="001A69AC">
        <w:rPr>
          <w:noProof/>
          <w:webHidden/>
        </w:rPr>
        <w:fldChar w:fldCharType="end"/>
      </w:r>
    </w:p>
    <w:p w:rsidR="009C344D" w:rsidRDefault="009C344D">
      <w:pPr>
        <w:pStyle w:val="TOC2"/>
        <w:tabs>
          <w:tab w:val="left" w:pos="1134"/>
        </w:tabs>
        <w:rPr>
          <w:rFonts w:asciiTheme="minorHAnsi" w:eastAsiaTheme="minorEastAsia" w:hAnsiTheme="minorHAnsi" w:cstheme="minorBidi"/>
          <w:noProof/>
          <w:color w:val="auto"/>
          <w:sz w:val="22"/>
        </w:rPr>
      </w:pPr>
      <w:r>
        <w:rPr>
          <w:noProof/>
        </w:rPr>
        <w:t>5.5</w:t>
      </w:r>
      <w:r>
        <w:rPr>
          <w:rFonts w:asciiTheme="minorHAnsi" w:eastAsiaTheme="minorEastAsia" w:hAnsiTheme="minorHAnsi" w:cstheme="minorBidi"/>
          <w:noProof/>
          <w:color w:val="auto"/>
          <w:sz w:val="22"/>
        </w:rPr>
        <w:tab/>
      </w:r>
      <w:r>
        <w:rPr>
          <w:noProof/>
        </w:rPr>
        <w:t>Conclusions- Type and Size</w:t>
      </w:r>
      <w:r>
        <w:rPr>
          <w:noProof/>
          <w:webHidden/>
        </w:rPr>
        <w:tab/>
      </w:r>
      <w:r w:rsidR="001A69AC">
        <w:rPr>
          <w:noProof/>
          <w:webHidden/>
        </w:rPr>
        <w:fldChar w:fldCharType="begin"/>
      </w:r>
      <w:r>
        <w:rPr>
          <w:noProof/>
          <w:webHidden/>
        </w:rPr>
        <w:instrText xml:space="preserve"> PAGEREF _Toc33015871 \h </w:instrText>
      </w:r>
      <w:r w:rsidR="001A69AC">
        <w:rPr>
          <w:noProof/>
          <w:webHidden/>
        </w:rPr>
      </w:r>
      <w:r w:rsidR="001A69AC">
        <w:rPr>
          <w:noProof/>
          <w:webHidden/>
        </w:rPr>
        <w:fldChar w:fldCharType="separate"/>
      </w:r>
      <w:r>
        <w:rPr>
          <w:noProof/>
          <w:webHidden/>
        </w:rPr>
        <w:t>36</w:t>
      </w:r>
      <w:r w:rsidR="001A69AC">
        <w:rPr>
          <w:noProof/>
          <w:webHidden/>
        </w:rPr>
        <w:fldChar w:fldCharType="end"/>
      </w:r>
    </w:p>
    <w:p w:rsidR="009C344D" w:rsidRDefault="009C344D">
      <w:pPr>
        <w:pStyle w:val="TOC1"/>
        <w:rPr>
          <w:rFonts w:asciiTheme="minorHAnsi" w:eastAsiaTheme="minorEastAsia" w:hAnsiTheme="minorHAnsi" w:cstheme="minorBidi"/>
          <w:noProof/>
          <w:color w:val="auto"/>
          <w:sz w:val="22"/>
        </w:rPr>
      </w:pPr>
      <w:r w:rsidRPr="00B87D58">
        <w:rPr>
          <w:noProof/>
          <w:lang w:val="en-US"/>
        </w:rPr>
        <w:t>6.</w:t>
      </w:r>
      <w:r>
        <w:rPr>
          <w:rFonts w:asciiTheme="minorHAnsi" w:eastAsiaTheme="minorEastAsia" w:hAnsiTheme="minorHAnsi" w:cstheme="minorBidi"/>
          <w:noProof/>
          <w:color w:val="auto"/>
          <w:sz w:val="22"/>
        </w:rPr>
        <w:tab/>
      </w:r>
      <w:r w:rsidRPr="00B87D58">
        <w:rPr>
          <w:noProof/>
          <w:lang w:val="en-US"/>
        </w:rPr>
        <w:t>Conclusions</w:t>
      </w:r>
      <w:r>
        <w:rPr>
          <w:noProof/>
          <w:webHidden/>
        </w:rPr>
        <w:tab/>
      </w:r>
      <w:r w:rsidR="001A69AC">
        <w:rPr>
          <w:noProof/>
          <w:webHidden/>
        </w:rPr>
        <w:fldChar w:fldCharType="begin"/>
      </w:r>
      <w:r>
        <w:rPr>
          <w:noProof/>
          <w:webHidden/>
        </w:rPr>
        <w:instrText xml:space="preserve"> PAGEREF _Toc33015872 \h </w:instrText>
      </w:r>
      <w:r w:rsidR="001A69AC">
        <w:rPr>
          <w:noProof/>
          <w:webHidden/>
        </w:rPr>
      </w:r>
      <w:r w:rsidR="001A69AC">
        <w:rPr>
          <w:noProof/>
          <w:webHidden/>
        </w:rPr>
        <w:fldChar w:fldCharType="separate"/>
      </w:r>
      <w:r>
        <w:rPr>
          <w:noProof/>
          <w:webHidden/>
        </w:rPr>
        <w:t>38</w:t>
      </w:r>
      <w:r w:rsidR="001A69AC">
        <w:rPr>
          <w:noProof/>
          <w:webHidden/>
        </w:rPr>
        <w:fldChar w:fldCharType="end"/>
      </w:r>
    </w:p>
    <w:p w:rsidR="009C344D" w:rsidRDefault="009C344D">
      <w:pPr>
        <w:pStyle w:val="TOC2"/>
        <w:tabs>
          <w:tab w:val="left" w:pos="1134"/>
        </w:tabs>
        <w:rPr>
          <w:rFonts w:asciiTheme="minorHAnsi" w:eastAsiaTheme="minorEastAsia" w:hAnsiTheme="minorHAnsi" w:cstheme="minorBidi"/>
          <w:noProof/>
          <w:color w:val="auto"/>
          <w:sz w:val="22"/>
        </w:rPr>
      </w:pPr>
      <w:r>
        <w:rPr>
          <w:noProof/>
        </w:rPr>
        <w:t>6.1</w:t>
      </w:r>
      <w:r>
        <w:rPr>
          <w:rFonts w:asciiTheme="minorHAnsi" w:eastAsiaTheme="minorEastAsia" w:hAnsiTheme="minorHAnsi" w:cstheme="minorBidi"/>
          <w:noProof/>
          <w:color w:val="auto"/>
          <w:sz w:val="22"/>
        </w:rPr>
        <w:tab/>
      </w:r>
      <w:r>
        <w:rPr>
          <w:noProof/>
        </w:rPr>
        <w:t>Overview</w:t>
      </w:r>
      <w:r>
        <w:rPr>
          <w:noProof/>
          <w:webHidden/>
        </w:rPr>
        <w:tab/>
      </w:r>
      <w:r w:rsidR="001A69AC">
        <w:rPr>
          <w:noProof/>
          <w:webHidden/>
        </w:rPr>
        <w:fldChar w:fldCharType="begin"/>
      </w:r>
      <w:r>
        <w:rPr>
          <w:noProof/>
          <w:webHidden/>
        </w:rPr>
        <w:instrText xml:space="preserve"> PAGEREF _Toc33015873 \h </w:instrText>
      </w:r>
      <w:r w:rsidR="001A69AC">
        <w:rPr>
          <w:noProof/>
          <w:webHidden/>
        </w:rPr>
      </w:r>
      <w:r w:rsidR="001A69AC">
        <w:rPr>
          <w:noProof/>
          <w:webHidden/>
        </w:rPr>
        <w:fldChar w:fldCharType="separate"/>
      </w:r>
      <w:r>
        <w:rPr>
          <w:noProof/>
          <w:webHidden/>
        </w:rPr>
        <w:t>38</w:t>
      </w:r>
      <w:r w:rsidR="001A69AC">
        <w:rPr>
          <w:noProof/>
          <w:webHidden/>
        </w:rPr>
        <w:fldChar w:fldCharType="end"/>
      </w:r>
    </w:p>
    <w:p w:rsidR="009C344D" w:rsidRDefault="009C344D">
      <w:pPr>
        <w:pStyle w:val="TOC2"/>
        <w:tabs>
          <w:tab w:val="left" w:pos="1134"/>
        </w:tabs>
        <w:rPr>
          <w:rFonts w:asciiTheme="minorHAnsi" w:eastAsiaTheme="minorEastAsia" w:hAnsiTheme="minorHAnsi" w:cstheme="minorBidi"/>
          <w:noProof/>
          <w:color w:val="auto"/>
          <w:sz w:val="22"/>
        </w:rPr>
      </w:pPr>
      <w:r>
        <w:rPr>
          <w:noProof/>
        </w:rPr>
        <w:t>6.2</w:t>
      </w:r>
      <w:r>
        <w:rPr>
          <w:rFonts w:asciiTheme="minorHAnsi" w:eastAsiaTheme="minorEastAsia" w:hAnsiTheme="minorHAnsi" w:cstheme="minorBidi"/>
          <w:noProof/>
          <w:color w:val="auto"/>
          <w:sz w:val="22"/>
        </w:rPr>
        <w:tab/>
      </w:r>
      <w:r>
        <w:rPr>
          <w:noProof/>
        </w:rPr>
        <w:t>Recommendations for next steps</w:t>
      </w:r>
      <w:r>
        <w:rPr>
          <w:noProof/>
          <w:webHidden/>
        </w:rPr>
        <w:tab/>
      </w:r>
      <w:r w:rsidR="001A69AC">
        <w:rPr>
          <w:noProof/>
          <w:webHidden/>
        </w:rPr>
        <w:fldChar w:fldCharType="begin"/>
      </w:r>
      <w:r>
        <w:rPr>
          <w:noProof/>
          <w:webHidden/>
        </w:rPr>
        <w:instrText xml:space="preserve"> PAGEREF _Toc33015874 \h </w:instrText>
      </w:r>
      <w:r w:rsidR="001A69AC">
        <w:rPr>
          <w:noProof/>
          <w:webHidden/>
        </w:rPr>
      </w:r>
      <w:r w:rsidR="001A69AC">
        <w:rPr>
          <w:noProof/>
          <w:webHidden/>
        </w:rPr>
        <w:fldChar w:fldCharType="separate"/>
      </w:r>
      <w:r>
        <w:rPr>
          <w:noProof/>
          <w:webHidden/>
        </w:rPr>
        <w:t>41</w:t>
      </w:r>
      <w:r w:rsidR="001A69AC">
        <w:rPr>
          <w:noProof/>
          <w:webHidden/>
        </w:rPr>
        <w:fldChar w:fldCharType="end"/>
      </w:r>
    </w:p>
    <w:p w:rsidR="009C344D" w:rsidRDefault="009C344D">
      <w:pPr>
        <w:pStyle w:val="TOC1"/>
        <w:rPr>
          <w:rFonts w:asciiTheme="minorHAnsi" w:eastAsiaTheme="minorEastAsia" w:hAnsiTheme="minorHAnsi" w:cstheme="minorBidi"/>
          <w:noProof/>
          <w:color w:val="auto"/>
          <w:sz w:val="22"/>
        </w:rPr>
      </w:pPr>
      <w:r>
        <w:rPr>
          <w:noProof/>
        </w:rPr>
        <w:t>Appendix A : Calculation of Affordability Thresholds</w:t>
      </w:r>
      <w:r>
        <w:rPr>
          <w:noProof/>
          <w:webHidden/>
        </w:rPr>
        <w:tab/>
      </w:r>
      <w:r w:rsidR="001A69AC">
        <w:rPr>
          <w:noProof/>
          <w:webHidden/>
        </w:rPr>
        <w:fldChar w:fldCharType="begin"/>
      </w:r>
      <w:r>
        <w:rPr>
          <w:noProof/>
          <w:webHidden/>
        </w:rPr>
        <w:instrText xml:space="preserve"> PAGEREF _Toc33015875 \h </w:instrText>
      </w:r>
      <w:r w:rsidR="001A69AC">
        <w:rPr>
          <w:noProof/>
          <w:webHidden/>
        </w:rPr>
      </w:r>
      <w:r w:rsidR="001A69AC">
        <w:rPr>
          <w:noProof/>
          <w:webHidden/>
        </w:rPr>
        <w:fldChar w:fldCharType="separate"/>
      </w:r>
      <w:r>
        <w:rPr>
          <w:noProof/>
          <w:webHidden/>
        </w:rPr>
        <w:t>43</w:t>
      </w:r>
      <w:r w:rsidR="001A69AC">
        <w:rPr>
          <w:noProof/>
          <w:webHidden/>
        </w:rPr>
        <w:fldChar w:fldCharType="end"/>
      </w:r>
    </w:p>
    <w:p w:rsidR="009C344D" w:rsidRDefault="009C344D">
      <w:pPr>
        <w:pStyle w:val="TOC2"/>
        <w:tabs>
          <w:tab w:val="left" w:pos="1134"/>
        </w:tabs>
        <w:rPr>
          <w:rFonts w:asciiTheme="minorHAnsi" w:eastAsiaTheme="minorEastAsia" w:hAnsiTheme="minorHAnsi" w:cstheme="minorBidi"/>
          <w:noProof/>
          <w:color w:val="auto"/>
          <w:sz w:val="22"/>
        </w:rPr>
      </w:pPr>
      <w:r>
        <w:rPr>
          <w:noProof/>
        </w:rPr>
        <w:t>A.1</w:t>
      </w:r>
      <w:r>
        <w:rPr>
          <w:rFonts w:asciiTheme="minorHAnsi" w:eastAsiaTheme="minorEastAsia" w:hAnsiTheme="minorHAnsi" w:cstheme="minorBidi"/>
          <w:noProof/>
          <w:color w:val="auto"/>
          <w:sz w:val="22"/>
        </w:rPr>
        <w:tab/>
      </w:r>
      <w:r>
        <w:rPr>
          <w:noProof/>
        </w:rPr>
        <w:t>Assessment geography</w:t>
      </w:r>
      <w:r>
        <w:rPr>
          <w:noProof/>
          <w:webHidden/>
        </w:rPr>
        <w:tab/>
      </w:r>
      <w:r w:rsidR="001A69AC">
        <w:rPr>
          <w:noProof/>
          <w:webHidden/>
        </w:rPr>
        <w:fldChar w:fldCharType="begin"/>
      </w:r>
      <w:r>
        <w:rPr>
          <w:noProof/>
          <w:webHidden/>
        </w:rPr>
        <w:instrText xml:space="preserve"> PAGEREF _Toc33015876 \h </w:instrText>
      </w:r>
      <w:r w:rsidR="001A69AC">
        <w:rPr>
          <w:noProof/>
          <w:webHidden/>
        </w:rPr>
      </w:r>
      <w:r w:rsidR="001A69AC">
        <w:rPr>
          <w:noProof/>
          <w:webHidden/>
        </w:rPr>
        <w:fldChar w:fldCharType="separate"/>
      </w:r>
      <w:r>
        <w:rPr>
          <w:noProof/>
          <w:webHidden/>
        </w:rPr>
        <w:t>43</w:t>
      </w:r>
      <w:r w:rsidR="001A69AC">
        <w:rPr>
          <w:noProof/>
          <w:webHidden/>
        </w:rPr>
        <w:fldChar w:fldCharType="end"/>
      </w:r>
    </w:p>
    <w:p w:rsidR="009C344D" w:rsidRDefault="009C344D">
      <w:pPr>
        <w:pStyle w:val="TOC2"/>
        <w:tabs>
          <w:tab w:val="left" w:pos="1134"/>
        </w:tabs>
        <w:rPr>
          <w:rFonts w:asciiTheme="minorHAnsi" w:eastAsiaTheme="minorEastAsia" w:hAnsiTheme="minorHAnsi" w:cstheme="minorBidi"/>
          <w:noProof/>
          <w:color w:val="auto"/>
          <w:sz w:val="22"/>
        </w:rPr>
      </w:pPr>
      <w:r>
        <w:rPr>
          <w:noProof/>
        </w:rPr>
        <w:t>A.2</w:t>
      </w:r>
      <w:r>
        <w:rPr>
          <w:rFonts w:asciiTheme="minorHAnsi" w:eastAsiaTheme="minorEastAsia" w:hAnsiTheme="minorHAnsi" w:cstheme="minorBidi"/>
          <w:noProof/>
          <w:color w:val="auto"/>
          <w:sz w:val="22"/>
        </w:rPr>
        <w:tab/>
      </w:r>
      <w:r>
        <w:rPr>
          <w:noProof/>
        </w:rPr>
        <w:t>Market housing</w:t>
      </w:r>
      <w:r>
        <w:rPr>
          <w:noProof/>
          <w:webHidden/>
        </w:rPr>
        <w:tab/>
      </w:r>
      <w:r w:rsidR="001A69AC">
        <w:rPr>
          <w:noProof/>
          <w:webHidden/>
        </w:rPr>
        <w:fldChar w:fldCharType="begin"/>
      </w:r>
      <w:r>
        <w:rPr>
          <w:noProof/>
          <w:webHidden/>
        </w:rPr>
        <w:instrText xml:space="preserve"> PAGEREF _Toc33015877 \h </w:instrText>
      </w:r>
      <w:r w:rsidR="001A69AC">
        <w:rPr>
          <w:noProof/>
          <w:webHidden/>
        </w:rPr>
      </w:r>
      <w:r w:rsidR="001A69AC">
        <w:rPr>
          <w:noProof/>
          <w:webHidden/>
        </w:rPr>
        <w:fldChar w:fldCharType="separate"/>
      </w:r>
      <w:r>
        <w:rPr>
          <w:noProof/>
          <w:webHidden/>
        </w:rPr>
        <w:t>43</w:t>
      </w:r>
      <w:r w:rsidR="001A69AC">
        <w:rPr>
          <w:noProof/>
          <w:webHidden/>
        </w:rPr>
        <w:fldChar w:fldCharType="end"/>
      </w:r>
    </w:p>
    <w:p w:rsidR="009C344D" w:rsidRDefault="009C344D">
      <w:pPr>
        <w:pStyle w:val="TOC2"/>
        <w:tabs>
          <w:tab w:val="left" w:pos="1134"/>
        </w:tabs>
        <w:rPr>
          <w:rFonts w:asciiTheme="minorHAnsi" w:eastAsiaTheme="minorEastAsia" w:hAnsiTheme="minorHAnsi" w:cstheme="minorBidi"/>
          <w:noProof/>
          <w:color w:val="auto"/>
          <w:sz w:val="22"/>
        </w:rPr>
      </w:pPr>
      <w:r>
        <w:rPr>
          <w:noProof/>
        </w:rPr>
        <w:t>i)</w:t>
      </w:r>
      <w:r>
        <w:rPr>
          <w:rFonts w:asciiTheme="minorHAnsi" w:eastAsiaTheme="minorEastAsia" w:hAnsiTheme="minorHAnsi" w:cstheme="minorBidi"/>
          <w:noProof/>
          <w:color w:val="auto"/>
          <w:sz w:val="22"/>
        </w:rPr>
        <w:tab/>
      </w:r>
      <w:r>
        <w:rPr>
          <w:noProof/>
        </w:rPr>
        <w:t>Market sales</w:t>
      </w:r>
      <w:r>
        <w:rPr>
          <w:noProof/>
          <w:webHidden/>
        </w:rPr>
        <w:tab/>
      </w:r>
      <w:r w:rsidR="001A69AC">
        <w:rPr>
          <w:noProof/>
          <w:webHidden/>
        </w:rPr>
        <w:fldChar w:fldCharType="begin"/>
      </w:r>
      <w:r>
        <w:rPr>
          <w:noProof/>
          <w:webHidden/>
        </w:rPr>
        <w:instrText xml:space="preserve"> PAGEREF _Toc33015878 \h </w:instrText>
      </w:r>
      <w:r w:rsidR="001A69AC">
        <w:rPr>
          <w:noProof/>
          <w:webHidden/>
        </w:rPr>
      </w:r>
      <w:r w:rsidR="001A69AC">
        <w:rPr>
          <w:noProof/>
          <w:webHidden/>
        </w:rPr>
        <w:fldChar w:fldCharType="separate"/>
      </w:r>
      <w:r>
        <w:rPr>
          <w:noProof/>
          <w:webHidden/>
        </w:rPr>
        <w:t>44</w:t>
      </w:r>
      <w:r w:rsidR="001A69AC">
        <w:rPr>
          <w:noProof/>
          <w:webHidden/>
        </w:rPr>
        <w:fldChar w:fldCharType="end"/>
      </w:r>
    </w:p>
    <w:p w:rsidR="009C344D" w:rsidRDefault="009C344D">
      <w:pPr>
        <w:pStyle w:val="TOC2"/>
        <w:tabs>
          <w:tab w:val="left" w:pos="1134"/>
        </w:tabs>
        <w:rPr>
          <w:rFonts w:asciiTheme="minorHAnsi" w:eastAsiaTheme="minorEastAsia" w:hAnsiTheme="minorHAnsi" w:cstheme="minorBidi"/>
          <w:noProof/>
          <w:color w:val="auto"/>
          <w:sz w:val="22"/>
        </w:rPr>
      </w:pPr>
      <w:r>
        <w:rPr>
          <w:noProof/>
        </w:rPr>
        <w:t>ii)</w:t>
      </w:r>
      <w:r>
        <w:rPr>
          <w:rFonts w:asciiTheme="minorHAnsi" w:eastAsiaTheme="minorEastAsia" w:hAnsiTheme="minorHAnsi" w:cstheme="minorBidi"/>
          <w:noProof/>
          <w:color w:val="auto"/>
          <w:sz w:val="22"/>
        </w:rPr>
        <w:tab/>
      </w:r>
      <w:r>
        <w:rPr>
          <w:noProof/>
        </w:rPr>
        <w:t>Private Rented Sector (PRS)</w:t>
      </w:r>
      <w:r>
        <w:rPr>
          <w:noProof/>
          <w:webHidden/>
        </w:rPr>
        <w:tab/>
      </w:r>
      <w:r w:rsidR="001A69AC">
        <w:rPr>
          <w:noProof/>
          <w:webHidden/>
        </w:rPr>
        <w:fldChar w:fldCharType="begin"/>
      </w:r>
      <w:r>
        <w:rPr>
          <w:noProof/>
          <w:webHidden/>
        </w:rPr>
        <w:instrText xml:space="preserve"> PAGEREF _Toc33015879 \h </w:instrText>
      </w:r>
      <w:r w:rsidR="001A69AC">
        <w:rPr>
          <w:noProof/>
          <w:webHidden/>
        </w:rPr>
      </w:r>
      <w:r w:rsidR="001A69AC">
        <w:rPr>
          <w:noProof/>
          <w:webHidden/>
        </w:rPr>
        <w:fldChar w:fldCharType="separate"/>
      </w:r>
      <w:r>
        <w:rPr>
          <w:noProof/>
          <w:webHidden/>
        </w:rPr>
        <w:t>44</w:t>
      </w:r>
      <w:r w:rsidR="001A69AC">
        <w:rPr>
          <w:noProof/>
          <w:webHidden/>
        </w:rPr>
        <w:fldChar w:fldCharType="end"/>
      </w:r>
    </w:p>
    <w:p w:rsidR="009C344D" w:rsidRDefault="009C344D">
      <w:pPr>
        <w:pStyle w:val="TOC2"/>
        <w:tabs>
          <w:tab w:val="left" w:pos="1134"/>
        </w:tabs>
        <w:rPr>
          <w:rFonts w:asciiTheme="minorHAnsi" w:eastAsiaTheme="minorEastAsia" w:hAnsiTheme="minorHAnsi" w:cstheme="minorBidi"/>
          <w:noProof/>
          <w:color w:val="auto"/>
          <w:sz w:val="22"/>
        </w:rPr>
      </w:pPr>
      <w:r>
        <w:rPr>
          <w:noProof/>
        </w:rPr>
        <w:t>A.3</w:t>
      </w:r>
      <w:r>
        <w:rPr>
          <w:rFonts w:asciiTheme="minorHAnsi" w:eastAsiaTheme="minorEastAsia" w:hAnsiTheme="minorHAnsi" w:cstheme="minorBidi"/>
          <w:noProof/>
          <w:color w:val="auto"/>
          <w:sz w:val="22"/>
        </w:rPr>
        <w:tab/>
      </w:r>
      <w:r>
        <w:rPr>
          <w:noProof/>
        </w:rPr>
        <w:t>Affordable Housing</w:t>
      </w:r>
      <w:r>
        <w:rPr>
          <w:noProof/>
          <w:webHidden/>
        </w:rPr>
        <w:tab/>
      </w:r>
      <w:r w:rsidR="001A69AC">
        <w:rPr>
          <w:noProof/>
          <w:webHidden/>
        </w:rPr>
        <w:fldChar w:fldCharType="begin"/>
      </w:r>
      <w:r>
        <w:rPr>
          <w:noProof/>
          <w:webHidden/>
        </w:rPr>
        <w:instrText xml:space="preserve"> PAGEREF _Toc33015880 \h </w:instrText>
      </w:r>
      <w:r w:rsidR="001A69AC">
        <w:rPr>
          <w:noProof/>
          <w:webHidden/>
        </w:rPr>
      </w:r>
      <w:r w:rsidR="001A69AC">
        <w:rPr>
          <w:noProof/>
          <w:webHidden/>
        </w:rPr>
        <w:fldChar w:fldCharType="separate"/>
      </w:r>
      <w:r>
        <w:rPr>
          <w:noProof/>
          <w:webHidden/>
        </w:rPr>
        <w:t>45</w:t>
      </w:r>
      <w:r w:rsidR="001A69AC">
        <w:rPr>
          <w:noProof/>
          <w:webHidden/>
        </w:rPr>
        <w:fldChar w:fldCharType="end"/>
      </w:r>
    </w:p>
    <w:p w:rsidR="009C344D" w:rsidRDefault="009C344D">
      <w:pPr>
        <w:pStyle w:val="TOC2"/>
        <w:tabs>
          <w:tab w:val="left" w:pos="1134"/>
        </w:tabs>
        <w:rPr>
          <w:rFonts w:asciiTheme="minorHAnsi" w:eastAsiaTheme="minorEastAsia" w:hAnsiTheme="minorHAnsi" w:cstheme="minorBidi"/>
          <w:noProof/>
          <w:color w:val="auto"/>
          <w:sz w:val="22"/>
        </w:rPr>
      </w:pPr>
      <w:r>
        <w:rPr>
          <w:noProof/>
        </w:rPr>
        <w:t>i)</w:t>
      </w:r>
      <w:r>
        <w:rPr>
          <w:rFonts w:asciiTheme="minorHAnsi" w:eastAsiaTheme="minorEastAsia" w:hAnsiTheme="minorHAnsi" w:cstheme="minorBidi"/>
          <w:noProof/>
          <w:color w:val="auto"/>
          <w:sz w:val="22"/>
        </w:rPr>
        <w:tab/>
      </w:r>
      <w:r>
        <w:rPr>
          <w:noProof/>
        </w:rPr>
        <w:t>Social rent</w:t>
      </w:r>
      <w:r>
        <w:rPr>
          <w:noProof/>
          <w:webHidden/>
        </w:rPr>
        <w:tab/>
      </w:r>
      <w:r w:rsidR="001A69AC">
        <w:rPr>
          <w:noProof/>
          <w:webHidden/>
        </w:rPr>
        <w:fldChar w:fldCharType="begin"/>
      </w:r>
      <w:r>
        <w:rPr>
          <w:noProof/>
          <w:webHidden/>
        </w:rPr>
        <w:instrText xml:space="preserve"> PAGEREF _Toc33015881 \h </w:instrText>
      </w:r>
      <w:r w:rsidR="001A69AC">
        <w:rPr>
          <w:noProof/>
          <w:webHidden/>
        </w:rPr>
      </w:r>
      <w:r w:rsidR="001A69AC">
        <w:rPr>
          <w:noProof/>
          <w:webHidden/>
        </w:rPr>
        <w:fldChar w:fldCharType="separate"/>
      </w:r>
      <w:r>
        <w:rPr>
          <w:noProof/>
          <w:webHidden/>
        </w:rPr>
        <w:t>45</w:t>
      </w:r>
      <w:r w:rsidR="001A69AC">
        <w:rPr>
          <w:noProof/>
          <w:webHidden/>
        </w:rPr>
        <w:fldChar w:fldCharType="end"/>
      </w:r>
    </w:p>
    <w:p w:rsidR="009C344D" w:rsidRDefault="009C344D">
      <w:pPr>
        <w:pStyle w:val="TOC2"/>
        <w:tabs>
          <w:tab w:val="left" w:pos="1134"/>
        </w:tabs>
        <w:rPr>
          <w:rFonts w:asciiTheme="minorHAnsi" w:eastAsiaTheme="minorEastAsia" w:hAnsiTheme="minorHAnsi" w:cstheme="minorBidi"/>
          <w:noProof/>
          <w:color w:val="auto"/>
          <w:sz w:val="22"/>
        </w:rPr>
      </w:pPr>
      <w:r>
        <w:rPr>
          <w:noProof/>
        </w:rPr>
        <w:lastRenderedPageBreak/>
        <w:t>ii)</w:t>
      </w:r>
      <w:r>
        <w:rPr>
          <w:rFonts w:asciiTheme="minorHAnsi" w:eastAsiaTheme="minorEastAsia" w:hAnsiTheme="minorHAnsi" w:cstheme="minorBidi"/>
          <w:noProof/>
          <w:color w:val="auto"/>
          <w:sz w:val="22"/>
        </w:rPr>
        <w:tab/>
      </w:r>
      <w:r>
        <w:rPr>
          <w:noProof/>
        </w:rPr>
        <w:t>Affordable rent</w:t>
      </w:r>
      <w:r>
        <w:rPr>
          <w:noProof/>
          <w:webHidden/>
        </w:rPr>
        <w:tab/>
      </w:r>
      <w:r w:rsidR="001A69AC">
        <w:rPr>
          <w:noProof/>
          <w:webHidden/>
        </w:rPr>
        <w:fldChar w:fldCharType="begin"/>
      </w:r>
      <w:r>
        <w:rPr>
          <w:noProof/>
          <w:webHidden/>
        </w:rPr>
        <w:instrText xml:space="preserve"> PAGEREF _Toc33015882 \h </w:instrText>
      </w:r>
      <w:r w:rsidR="001A69AC">
        <w:rPr>
          <w:noProof/>
          <w:webHidden/>
        </w:rPr>
      </w:r>
      <w:r w:rsidR="001A69AC">
        <w:rPr>
          <w:noProof/>
          <w:webHidden/>
        </w:rPr>
        <w:fldChar w:fldCharType="separate"/>
      </w:r>
      <w:r>
        <w:rPr>
          <w:noProof/>
          <w:webHidden/>
        </w:rPr>
        <w:t>45</w:t>
      </w:r>
      <w:r w:rsidR="001A69AC">
        <w:rPr>
          <w:noProof/>
          <w:webHidden/>
        </w:rPr>
        <w:fldChar w:fldCharType="end"/>
      </w:r>
    </w:p>
    <w:p w:rsidR="009C344D" w:rsidRDefault="009C344D">
      <w:pPr>
        <w:pStyle w:val="TOC2"/>
        <w:tabs>
          <w:tab w:val="left" w:pos="1134"/>
        </w:tabs>
        <w:rPr>
          <w:rFonts w:asciiTheme="minorHAnsi" w:eastAsiaTheme="minorEastAsia" w:hAnsiTheme="minorHAnsi" w:cstheme="minorBidi"/>
          <w:noProof/>
          <w:color w:val="auto"/>
          <w:sz w:val="22"/>
        </w:rPr>
      </w:pPr>
      <w:r>
        <w:rPr>
          <w:noProof/>
        </w:rPr>
        <w:t>iii)</w:t>
      </w:r>
      <w:r>
        <w:rPr>
          <w:rFonts w:asciiTheme="minorHAnsi" w:eastAsiaTheme="minorEastAsia" w:hAnsiTheme="minorHAnsi" w:cstheme="minorBidi"/>
          <w:noProof/>
          <w:color w:val="auto"/>
          <w:sz w:val="22"/>
        </w:rPr>
        <w:tab/>
      </w:r>
      <w:r>
        <w:rPr>
          <w:noProof/>
        </w:rPr>
        <w:t>Intermediate tenures</w:t>
      </w:r>
      <w:r>
        <w:rPr>
          <w:noProof/>
          <w:webHidden/>
        </w:rPr>
        <w:tab/>
      </w:r>
      <w:r w:rsidR="001A69AC">
        <w:rPr>
          <w:noProof/>
          <w:webHidden/>
        </w:rPr>
        <w:fldChar w:fldCharType="begin"/>
      </w:r>
      <w:r>
        <w:rPr>
          <w:noProof/>
          <w:webHidden/>
        </w:rPr>
        <w:instrText xml:space="preserve"> PAGEREF _Toc33015883 \h </w:instrText>
      </w:r>
      <w:r w:rsidR="001A69AC">
        <w:rPr>
          <w:noProof/>
          <w:webHidden/>
        </w:rPr>
      </w:r>
      <w:r w:rsidR="001A69AC">
        <w:rPr>
          <w:noProof/>
          <w:webHidden/>
        </w:rPr>
        <w:fldChar w:fldCharType="separate"/>
      </w:r>
      <w:r>
        <w:rPr>
          <w:noProof/>
          <w:webHidden/>
        </w:rPr>
        <w:t>45</w:t>
      </w:r>
      <w:r w:rsidR="001A69AC">
        <w:rPr>
          <w:noProof/>
          <w:webHidden/>
        </w:rPr>
        <w:fldChar w:fldCharType="end"/>
      </w:r>
    </w:p>
    <w:p w:rsidR="009C344D" w:rsidRDefault="009C344D">
      <w:pPr>
        <w:pStyle w:val="TOC1"/>
        <w:rPr>
          <w:rFonts w:asciiTheme="minorHAnsi" w:eastAsiaTheme="minorEastAsia" w:hAnsiTheme="minorHAnsi" w:cstheme="minorBidi"/>
          <w:noProof/>
          <w:color w:val="auto"/>
          <w:sz w:val="22"/>
        </w:rPr>
      </w:pPr>
      <w:r>
        <w:rPr>
          <w:noProof/>
        </w:rPr>
        <w:t>Appendix B : Housing Needs Assessment Glossary</w:t>
      </w:r>
      <w:r>
        <w:rPr>
          <w:noProof/>
          <w:webHidden/>
        </w:rPr>
        <w:tab/>
      </w:r>
      <w:r w:rsidR="001A69AC">
        <w:rPr>
          <w:noProof/>
          <w:webHidden/>
        </w:rPr>
        <w:fldChar w:fldCharType="begin"/>
      </w:r>
      <w:r>
        <w:rPr>
          <w:noProof/>
          <w:webHidden/>
        </w:rPr>
        <w:instrText xml:space="preserve"> PAGEREF _Toc33015884 \h </w:instrText>
      </w:r>
      <w:r w:rsidR="001A69AC">
        <w:rPr>
          <w:noProof/>
          <w:webHidden/>
        </w:rPr>
      </w:r>
      <w:r w:rsidR="001A69AC">
        <w:rPr>
          <w:noProof/>
          <w:webHidden/>
        </w:rPr>
        <w:fldChar w:fldCharType="separate"/>
      </w:r>
      <w:r>
        <w:rPr>
          <w:noProof/>
          <w:webHidden/>
        </w:rPr>
        <w:t>47</w:t>
      </w:r>
      <w:r w:rsidR="001A69AC">
        <w:rPr>
          <w:noProof/>
          <w:webHidden/>
        </w:rPr>
        <w:fldChar w:fldCharType="end"/>
      </w:r>
    </w:p>
    <w:p w:rsidR="002C2D5C" w:rsidRDefault="001A69AC" w:rsidP="002C2D5C">
      <w:pPr>
        <w:pStyle w:val="BodyText"/>
        <w:jc w:val="both"/>
        <w:rPr>
          <w:noProof/>
        </w:rPr>
      </w:pPr>
      <w:r>
        <w:rPr>
          <w:noProof/>
        </w:rPr>
        <w:fldChar w:fldCharType="end"/>
      </w:r>
    </w:p>
    <w:bookmarkEnd w:id="27"/>
    <w:p w:rsidR="002C2D5C" w:rsidRDefault="002C2D5C" w:rsidP="002C2D5C">
      <w:pPr>
        <w:jc w:val="both"/>
        <w:rPr>
          <w:noProof/>
        </w:rPr>
        <w:sectPr w:rsidR="002C2D5C" w:rsidSect="004E43B0">
          <w:headerReference w:type="default" r:id="rId10"/>
          <w:footerReference w:type="default" r:id="rId11"/>
          <w:pgSz w:w="11906" w:h="16838" w:code="9"/>
          <w:pgMar w:top="1134" w:right="1440" w:bottom="851" w:left="1440" w:header="709" w:footer="284" w:gutter="0"/>
          <w:cols w:space="708"/>
          <w:docGrid w:linePitch="360"/>
        </w:sectPr>
      </w:pPr>
    </w:p>
    <w:p w:rsidR="002C2D5C" w:rsidRPr="00BC20E6" w:rsidRDefault="002C2D5C" w:rsidP="002C2D5C">
      <w:pPr>
        <w:pStyle w:val="BodyText"/>
        <w:jc w:val="both"/>
        <w:rPr>
          <w:b/>
          <w:sz w:val="18"/>
          <w:lang w:val="en-US"/>
        </w:rPr>
      </w:pPr>
      <w:r w:rsidRPr="00BC20E6">
        <w:rPr>
          <w:b/>
          <w:sz w:val="18"/>
          <w:lang w:val="en-US"/>
        </w:rPr>
        <w:lastRenderedPageBreak/>
        <w:t>List of acronyms used in the text:</w:t>
      </w:r>
    </w:p>
    <w:p w:rsidR="002C2D5C" w:rsidRDefault="002C2D5C" w:rsidP="002C2D5C">
      <w:pPr>
        <w:pStyle w:val="BodyText"/>
        <w:jc w:val="both"/>
        <w:rPr>
          <w:sz w:val="18"/>
          <w:lang w:val="en-US"/>
        </w:rPr>
      </w:pPr>
    </w:p>
    <w:p w:rsidR="002C2D5C" w:rsidRPr="00A72738" w:rsidRDefault="002C2D5C" w:rsidP="002C2D5C">
      <w:pPr>
        <w:pStyle w:val="BodyText"/>
        <w:jc w:val="both"/>
        <w:rPr>
          <w:sz w:val="18"/>
          <w:lang w:val="en-US"/>
        </w:rPr>
      </w:pPr>
      <w:r w:rsidRPr="00A72738">
        <w:rPr>
          <w:sz w:val="18"/>
          <w:lang w:val="en-US"/>
        </w:rPr>
        <w:t xml:space="preserve">AH </w:t>
      </w:r>
      <w:r w:rsidRPr="00A72738">
        <w:rPr>
          <w:sz w:val="18"/>
          <w:lang w:val="en-US"/>
        </w:rPr>
        <w:tab/>
        <w:t>Affordable Housing (NPPF definition)</w:t>
      </w:r>
    </w:p>
    <w:p w:rsidR="002C2D5C" w:rsidRPr="005750AB" w:rsidRDefault="002C2D5C" w:rsidP="002C2D5C">
      <w:pPr>
        <w:pStyle w:val="BodyText"/>
        <w:jc w:val="both"/>
        <w:rPr>
          <w:sz w:val="18"/>
          <w:lang w:val="en-US"/>
        </w:rPr>
      </w:pPr>
      <w:r w:rsidRPr="005750AB">
        <w:rPr>
          <w:sz w:val="18"/>
          <w:lang w:val="en-US"/>
        </w:rPr>
        <w:t xml:space="preserve">AMH </w:t>
      </w:r>
      <w:r w:rsidRPr="005750AB">
        <w:rPr>
          <w:sz w:val="18"/>
          <w:lang w:val="en-US"/>
        </w:rPr>
        <w:tab/>
        <w:t>Affordable Market Housing</w:t>
      </w:r>
    </w:p>
    <w:p w:rsidR="002C2D5C" w:rsidRPr="00A72738" w:rsidRDefault="002C2D5C" w:rsidP="002C2D5C">
      <w:pPr>
        <w:pStyle w:val="BodyText"/>
        <w:jc w:val="both"/>
        <w:rPr>
          <w:sz w:val="18"/>
          <w:lang w:val="en-US"/>
        </w:rPr>
      </w:pPr>
      <w:r w:rsidRPr="00A72738">
        <w:rPr>
          <w:sz w:val="18"/>
          <w:lang w:val="en-US"/>
        </w:rPr>
        <w:t xml:space="preserve">HNA </w:t>
      </w:r>
      <w:r w:rsidRPr="00A72738">
        <w:rPr>
          <w:sz w:val="18"/>
          <w:lang w:val="en-US"/>
        </w:rPr>
        <w:tab/>
        <w:t>Housing Needs Assessment</w:t>
      </w:r>
    </w:p>
    <w:p w:rsidR="002C2D5C" w:rsidRDefault="002C2D5C" w:rsidP="002C2D5C">
      <w:pPr>
        <w:pStyle w:val="BodyText"/>
        <w:jc w:val="both"/>
        <w:rPr>
          <w:sz w:val="18"/>
          <w:lang w:val="en-US"/>
        </w:rPr>
      </w:pPr>
      <w:r>
        <w:rPr>
          <w:sz w:val="18"/>
          <w:lang w:val="en-US"/>
        </w:rPr>
        <w:t>HNF</w:t>
      </w:r>
      <w:r w:rsidRPr="00AF53FD">
        <w:rPr>
          <w:sz w:val="18"/>
          <w:lang w:val="en-US"/>
        </w:rPr>
        <w:tab/>
        <w:t xml:space="preserve">Housing </w:t>
      </w:r>
      <w:r>
        <w:rPr>
          <w:sz w:val="18"/>
          <w:lang w:val="en-US"/>
        </w:rPr>
        <w:t>Need</w:t>
      </w:r>
      <w:r w:rsidRPr="00AF53FD">
        <w:rPr>
          <w:sz w:val="18"/>
          <w:lang w:val="en-US"/>
        </w:rPr>
        <w:t xml:space="preserve"> Figure</w:t>
      </w:r>
    </w:p>
    <w:p w:rsidR="002C2D5C" w:rsidRDefault="002C2D5C" w:rsidP="002C2D5C">
      <w:pPr>
        <w:pStyle w:val="BodyText"/>
        <w:jc w:val="both"/>
        <w:rPr>
          <w:sz w:val="18"/>
          <w:lang w:val="en-US"/>
        </w:rPr>
      </w:pPr>
      <w:r>
        <w:rPr>
          <w:sz w:val="18"/>
          <w:lang w:val="en-US"/>
        </w:rPr>
        <w:t>Housing LIN</w:t>
      </w:r>
      <w:r>
        <w:rPr>
          <w:sz w:val="18"/>
          <w:lang w:val="en-US"/>
        </w:rPr>
        <w:tab/>
        <w:t>Housing Learning and Improvement Network</w:t>
      </w:r>
    </w:p>
    <w:p w:rsidR="002C2D5C" w:rsidRDefault="002C2D5C" w:rsidP="002C2D5C">
      <w:pPr>
        <w:pStyle w:val="BodyText"/>
        <w:jc w:val="both"/>
        <w:rPr>
          <w:sz w:val="18"/>
          <w:lang w:val="en-US"/>
        </w:rPr>
      </w:pPr>
      <w:r>
        <w:rPr>
          <w:sz w:val="18"/>
          <w:lang w:val="en-US"/>
        </w:rPr>
        <w:t>HRP</w:t>
      </w:r>
      <w:r>
        <w:rPr>
          <w:sz w:val="18"/>
          <w:lang w:val="en-US"/>
        </w:rPr>
        <w:tab/>
        <w:t>Household Reference Person</w:t>
      </w:r>
    </w:p>
    <w:p w:rsidR="002C2D5C" w:rsidRPr="00AF53FD" w:rsidRDefault="002C2D5C" w:rsidP="002C2D5C">
      <w:pPr>
        <w:pStyle w:val="BodyText"/>
        <w:jc w:val="both"/>
        <w:rPr>
          <w:sz w:val="18"/>
          <w:lang w:val="en-US"/>
        </w:rPr>
      </w:pPr>
      <w:r>
        <w:rPr>
          <w:sz w:val="18"/>
          <w:lang w:val="en-US"/>
        </w:rPr>
        <w:t>LHN</w:t>
      </w:r>
      <w:r>
        <w:rPr>
          <w:sz w:val="18"/>
          <w:lang w:val="en-US"/>
        </w:rPr>
        <w:tab/>
        <w:t>Local Housing Need</w:t>
      </w:r>
    </w:p>
    <w:p w:rsidR="002C2D5C" w:rsidRDefault="002C2D5C" w:rsidP="002C2D5C">
      <w:pPr>
        <w:pStyle w:val="BodyText"/>
        <w:jc w:val="both"/>
        <w:rPr>
          <w:sz w:val="18"/>
          <w:lang w:val="en-US"/>
        </w:rPr>
      </w:pPr>
      <w:r w:rsidRPr="00A72738">
        <w:rPr>
          <w:sz w:val="18"/>
          <w:lang w:val="en-US"/>
        </w:rPr>
        <w:t xml:space="preserve">LPA </w:t>
      </w:r>
      <w:r w:rsidRPr="00A72738">
        <w:rPr>
          <w:sz w:val="18"/>
          <w:lang w:val="en-US"/>
        </w:rPr>
        <w:tab/>
        <w:t>Local Planning Authority</w:t>
      </w:r>
    </w:p>
    <w:p w:rsidR="002C2D5C" w:rsidRDefault="002C2D5C" w:rsidP="002C2D5C">
      <w:pPr>
        <w:pStyle w:val="BodyText"/>
        <w:jc w:val="both"/>
        <w:rPr>
          <w:sz w:val="18"/>
          <w:lang w:val="en-US"/>
        </w:rPr>
      </w:pPr>
      <w:r>
        <w:rPr>
          <w:sz w:val="18"/>
          <w:lang w:val="en-US"/>
        </w:rPr>
        <w:t>LQAR</w:t>
      </w:r>
      <w:r>
        <w:rPr>
          <w:sz w:val="18"/>
          <w:lang w:val="en-US"/>
        </w:rPr>
        <w:tab/>
      </w:r>
      <w:r w:rsidRPr="005750AB">
        <w:rPr>
          <w:sz w:val="18"/>
          <w:lang w:val="en-US"/>
        </w:rPr>
        <w:t>Lower Quartile Affordability Ratio</w:t>
      </w:r>
    </w:p>
    <w:p w:rsidR="00B74AE8" w:rsidRDefault="00B74AE8" w:rsidP="002C2D5C">
      <w:pPr>
        <w:pStyle w:val="BodyText"/>
        <w:jc w:val="both"/>
        <w:rPr>
          <w:sz w:val="18"/>
          <w:lang w:val="en-US"/>
        </w:rPr>
      </w:pPr>
      <w:r>
        <w:rPr>
          <w:sz w:val="18"/>
          <w:lang w:val="en-US"/>
        </w:rPr>
        <w:t>LTHPD</w:t>
      </w:r>
      <w:r>
        <w:rPr>
          <w:sz w:val="18"/>
          <w:lang w:val="en-US"/>
        </w:rPr>
        <w:tab/>
        <w:t>Long-Term Health Problem or Disability</w:t>
      </w:r>
    </w:p>
    <w:p w:rsidR="002C2D5C" w:rsidRDefault="002C2D5C" w:rsidP="002C2D5C">
      <w:pPr>
        <w:pStyle w:val="BodyText"/>
        <w:jc w:val="both"/>
        <w:rPr>
          <w:sz w:val="18"/>
          <w:lang w:val="en-US"/>
        </w:rPr>
      </w:pPr>
      <w:r>
        <w:rPr>
          <w:sz w:val="18"/>
          <w:lang w:val="en-US"/>
        </w:rPr>
        <w:t>MAR</w:t>
      </w:r>
      <w:r>
        <w:rPr>
          <w:sz w:val="18"/>
          <w:lang w:val="en-US"/>
        </w:rPr>
        <w:tab/>
        <w:t>Median Affordability Ratio</w:t>
      </w:r>
    </w:p>
    <w:p w:rsidR="002C2D5C" w:rsidRPr="00A72738" w:rsidRDefault="002C2D5C" w:rsidP="002C2D5C">
      <w:pPr>
        <w:pStyle w:val="BodyText"/>
        <w:jc w:val="both"/>
        <w:rPr>
          <w:sz w:val="18"/>
          <w:lang w:val="en-US"/>
        </w:rPr>
      </w:pPr>
      <w:r>
        <w:rPr>
          <w:sz w:val="18"/>
          <w:lang w:val="en-US"/>
        </w:rPr>
        <w:t>MH</w:t>
      </w:r>
      <w:r>
        <w:rPr>
          <w:sz w:val="18"/>
          <w:lang w:val="en-US"/>
        </w:rPr>
        <w:tab/>
        <w:t>Market Housing</w:t>
      </w:r>
    </w:p>
    <w:p w:rsidR="002C2D5C" w:rsidRPr="005750AB" w:rsidRDefault="002C2D5C" w:rsidP="002C2D5C">
      <w:pPr>
        <w:pStyle w:val="BodyText"/>
        <w:jc w:val="both"/>
        <w:rPr>
          <w:sz w:val="18"/>
          <w:lang w:val="en-US"/>
        </w:rPr>
      </w:pPr>
      <w:r w:rsidRPr="005750AB">
        <w:rPr>
          <w:sz w:val="18"/>
          <w:lang w:val="en-US"/>
        </w:rPr>
        <w:t xml:space="preserve">MHCLG </w:t>
      </w:r>
      <w:r w:rsidRPr="005750AB">
        <w:rPr>
          <w:sz w:val="18"/>
          <w:lang w:val="en-US"/>
        </w:rPr>
        <w:tab/>
        <w:t>Ministry for Housing, Communities and Local Government (formerly DCLG)</w:t>
      </w:r>
    </w:p>
    <w:p w:rsidR="002C2D5C" w:rsidRDefault="002C2D5C" w:rsidP="002C2D5C">
      <w:pPr>
        <w:pStyle w:val="BodyText"/>
        <w:jc w:val="both"/>
        <w:rPr>
          <w:sz w:val="18"/>
          <w:lang w:val="en-US"/>
        </w:rPr>
      </w:pPr>
      <w:r w:rsidRPr="00B374E0">
        <w:rPr>
          <w:sz w:val="18"/>
          <w:lang w:val="en-US"/>
        </w:rPr>
        <w:t xml:space="preserve">NA     </w:t>
      </w:r>
      <w:r w:rsidRPr="00B374E0">
        <w:rPr>
          <w:sz w:val="18"/>
          <w:lang w:val="en-US"/>
        </w:rPr>
        <w:tab/>
        <w:t xml:space="preserve">Neighbourhood </w:t>
      </w:r>
      <w:r w:rsidR="00A50BD6">
        <w:rPr>
          <w:sz w:val="18"/>
          <w:lang w:val="en-US"/>
        </w:rPr>
        <w:t>(</w:t>
      </w:r>
      <w:r w:rsidRPr="00B374E0">
        <w:rPr>
          <w:sz w:val="18"/>
          <w:lang w:val="en-US"/>
        </w:rPr>
        <w:t>Plan</w:t>
      </w:r>
      <w:r w:rsidR="00A50BD6">
        <w:rPr>
          <w:sz w:val="18"/>
          <w:lang w:val="en-US"/>
        </w:rPr>
        <w:t>)</w:t>
      </w:r>
      <w:r w:rsidRPr="00B374E0">
        <w:rPr>
          <w:sz w:val="18"/>
          <w:lang w:val="en-US"/>
        </w:rPr>
        <w:t xml:space="preserve"> Area</w:t>
      </w:r>
    </w:p>
    <w:p w:rsidR="008D49A0" w:rsidRPr="00B374E0" w:rsidRDefault="008D49A0" w:rsidP="002C2D5C">
      <w:pPr>
        <w:pStyle w:val="BodyText"/>
        <w:jc w:val="both"/>
        <w:rPr>
          <w:sz w:val="18"/>
          <w:lang w:val="en-US"/>
        </w:rPr>
      </w:pPr>
      <w:r>
        <w:rPr>
          <w:sz w:val="18"/>
          <w:lang w:val="en-US"/>
        </w:rPr>
        <w:t>NDO</w:t>
      </w:r>
      <w:r>
        <w:rPr>
          <w:sz w:val="18"/>
          <w:lang w:val="en-US"/>
        </w:rPr>
        <w:tab/>
        <w:t>Neighbourhood Development Order</w:t>
      </w:r>
    </w:p>
    <w:p w:rsidR="002C2D5C" w:rsidRPr="00A72738" w:rsidRDefault="002C2D5C" w:rsidP="002C2D5C">
      <w:pPr>
        <w:pStyle w:val="BodyText"/>
        <w:jc w:val="both"/>
        <w:rPr>
          <w:sz w:val="18"/>
          <w:lang w:val="en-US"/>
        </w:rPr>
      </w:pPr>
      <w:r w:rsidRPr="00A72738">
        <w:rPr>
          <w:sz w:val="18"/>
          <w:lang w:val="en-US"/>
        </w:rPr>
        <w:t xml:space="preserve">NDP </w:t>
      </w:r>
      <w:r w:rsidRPr="00A72738">
        <w:rPr>
          <w:sz w:val="18"/>
          <w:lang w:val="en-US"/>
        </w:rPr>
        <w:tab/>
        <w:t>Neighbourhood Development Plan</w:t>
      </w:r>
    </w:p>
    <w:p w:rsidR="002C2D5C" w:rsidRPr="00A72738" w:rsidRDefault="002C2D5C" w:rsidP="002C2D5C">
      <w:pPr>
        <w:pStyle w:val="BodyText"/>
        <w:jc w:val="both"/>
        <w:rPr>
          <w:sz w:val="18"/>
          <w:lang w:val="en-US"/>
        </w:rPr>
      </w:pPr>
      <w:r w:rsidRPr="00A72738">
        <w:rPr>
          <w:sz w:val="18"/>
          <w:lang w:val="en-US"/>
        </w:rPr>
        <w:t xml:space="preserve">NP </w:t>
      </w:r>
      <w:r w:rsidRPr="00A72738">
        <w:rPr>
          <w:sz w:val="18"/>
          <w:lang w:val="en-US"/>
        </w:rPr>
        <w:tab/>
        <w:t>Neighbourhood Plan</w:t>
      </w:r>
    </w:p>
    <w:p w:rsidR="002C2D5C" w:rsidRPr="00AF53FD" w:rsidRDefault="002C2D5C" w:rsidP="002C2D5C">
      <w:pPr>
        <w:pStyle w:val="BodyText"/>
        <w:jc w:val="both"/>
        <w:rPr>
          <w:sz w:val="18"/>
          <w:lang w:val="en-US"/>
        </w:rPr>
      </w:pPr>
      <w:r w:rsidRPr="00AF53FD">
        <w:rPr>
          <w:sz w:val="18"/>
          <w:lang w:val="en-US"/>
        </w:rPr>
        <w:t xml:space="preserve">NPPF </w:t>
      </w:r>
      <w:r w:rsidRPr="00AF53FD">
        <w:rPr>
          <w:sz w:val="18"/>
          <w:lang w:val="en-US"/>
        </w:rPr>
        <w:tab/>
        <w:t>National Planning Policy Framework</w:t>
      </w:r>
    </w:p>
    <w:p w:rsidR="002C2D5C" w:rsidRPr="00AF53FD" w:rsidRDefault="002C2D5C" w:rsidP="002C2D5C">
      <w:pPr>
        <w:pStyle w:val="BodyText"/>
        <w:jc w:val="both"/>
        <w:rPr>
          <w:sz w:val="18"/>
          <w:lang w:val="en-US"/>
        </w:rPr>
      </w:pPr>
      <w:r w:rsidRPr="00AF53FD">
        <w:rPr>
          <w:sz w:val="18"/>
          <w:lang w:val="en-US"/>
        </w:rPr>
        <w:t xml:space="preserve">ONS </w:t>
      </w:r>
      <w:r w:rsidRPr="00AF53FD">
        <w:rPr>
          <w:sz w:val="18"/>
          <w:lang w:val="en-US"/>
        </w:rPr>
        <w:tab/>
        <w:t>Office for National Statistics</w:t>
      </w:r>
    </w:p>
    <w:p w:rsidR="002C2D5C" w:rsidRPr="00A72738" w:rsidRDefault="002C2D5C" w:rsidP="002C2D5C">
      <w:pPr>
        <w:pStyle w:val="BodyText"/>
        <w:jc w:val="both"/>
        <w:rPr>
          <w:sz w:val="18"/>
          <w:lang w:val="en-US"/>
        </w:rPr>
      </w:pPr>
      <w:r w:rsidRPr="00A72738">
        <w:rPr>
          <w:sz w:val="18"/>
          <w:lang w:val="en-US"/>
        </w:rPr>
        <w:t xml:space="preserve">PPG </w:t>
      </w:r>
      <w:r w:rsidRPr="00A72738">
        <w:rPr>
          <w:sz w:val="18"/>
          <w:lang w:val="en-US"/>
        </w:rPr>
        <w:tab/>
        <w:t>Planning Practice Guidance</w:t>
      </w:r>
    </w:p>
    <w:p w:rsidR="002C2D5C" w:rsidRPr="005750AB" w:rsidRDefault="002C2D5C" w:rsidP="002C2D5C">
      <w:pPr>
        <w:pStyle w:val="BodyText"/>
        <w:jc w:val="both"/>
        <w:rPr>
          <w:sz w:val="18"/>
          <w:lang w:val="en-US"/>
        </w:rPr>
      </w:pPr>
      <w:r w:rsidRPr="005750AB">
        <w:rPr>
          <w:sz w:val="18"/>
          <w:lang w:val="en-US"/>
        </w:rPr>
        <w:t xml:space="preserve">PRS </w:t>
      </w:r>
      <w:r w:rsidRPr="005750AB">
        <w:rPr>
          <w:sz w:val="18"/>
          <w:lang w:val="en-US"/>
        </w:rPr>
        <w:tab/>
        <w:t>Private Rented Sector</w:t>
      </w:r>
    </w:p>
    <w:p w:rsidR="002C2D5C" w:rsidRDefault="002C2D5C" w:rsidP="002C2D5C">
      <w:pPr>
        <w:pStyle w:val="BodyText"/>
        <w:jc w:val="both"/>
        <w:rPr>
          <w:sz w:val="18"/>
          <w:lang w:val="en-US"/>
        </w:rPr>
      </w:pPr>
      <w:r w:rsidRPr="00A72738">
        <w:rPr>
          <w:sz w:val="18"/>
          <w:lang w:val="en-US"/>
        </w:rPr>
        <w:t>RQ</w:t>
      </w:r>
      <w:r w:rsidRPr="00A72738">
        <w:rPr>
          <w:sz w:val="18"/>
          <w:lang w:val="en-US"/>
        </w:rPr>
        <w:tab/>
        <w:t>Research Question</w:t>
      </w:r>
    </w:p>
    <w:p w:rsidR="00B909CB" w:rsidRPr="00A72738" w:rsidRDefault="00B909CB" w:rsidP="002C2D5C">
      <w:pPr>
        <w:pStyle w:val="BodyText"/>
        <w:jc w:val="both"/>
        <w:rPr>
          <w:sz w:val="18"/>
          <w:lang w:val="en-US"/>
        </w:rPr>
      </w:pPr>
      <w:r>
        <w:rPr>
          <w:sz w:val="18"/>
          <w:lang w:val="en-US"/>
        </w:rPr>
        <w:t>SHLAA</w:t>
      </w:r>
      <w:r>
        <w:rPr>
          <w:sz w:val="18"/>
          <w:lang w:val="en-US"/>
        </w:rPr>
        <w:tab/>
        <w:t>Strategic Housing Land Availability Assessment</w:t>
      </w:r>
    </w:p>
    <w:p w:rsidR="002C2D5C" w:rsidRDefault="002C2D5C" w:rsidP="002C2D5C">
      <w:pPr>
        <w:pStyle w:val="BodyText"/>
        <w:jc w:val="both"/>
        <w:rPr>
          <w:sz w:val="18"/>
          <w:lang w:val="en-US"/>
        </w:rPr>
      </w:pPr>
      <w:r w:rsidRPr="00A72738">
        <w:rPr>
          <w:sz w:val="18"/>
          <w:lang w:val="en-US"/>
        </w:rPr>
        <w:t xml:space="preserve">SHMA </w:t>
      </w:r>
      <w:r w:rsidRPr="00A72738">
        <w:rPr>
          <w:sz w:val="18"/>
          <w:lang w:val="en-US"/>
        </w:rPr>
        <w:tab/>
        <w:t>Strategic Housing Market Assessment</w:t>
      </w:r>
    </w:p>
    <w:p w:rsidR="002C2D5C" w:rsidRPr="00D44197" w:rsidRDefault="002C2D5C" w:rsidP="002C2D5C">
      <w:pPr>
        <w:pStyle w:val="BodyText"/>
        <w:jc w:val="both"/>
        <w:rPr>
          <w:sz w:val="18"/>
          <w:lang w:val="en-US"/>
        </w:rPr>
      </w:pPr>
      <w:r>
        <w:rPr>
          <w:sz w:val="18"/>
          <w:lang w:val="en-US"/>
        </w:rPr>
        <w:t>VOA</w:t>
      </w:r>
      <w:r>
        <w:rPr>
          <w:sz w:val="18"/>
          <w:lang w:val="en-US"/>
        </w:rPr>
        <w:tab/>
        <w:t>Valuation Office Agency</w:t>
      </w:r>
    </w:p>
    <w:p w:rsidR="002C2D5C" w:rsidRDefault="002C2D5C" w:rsidP="002C2D5C">
      <w:pPr>
        <w:pStyle w:val="Heading1"/>
        <w:jc w:val="both"/>
        <w:rPr>
          <w:lang w:val="en-US"/>
        </w:rPr>
      </w:pPr>
      <w:r w:rsidRPr="00E80CC8">
        <w:rPr>
          <w:lang w:val="en-US"/>
        </w:rPr>
        <w:br w:type="page"/>
      </w:r>
      <w:bookmarkStart w:id="28" w:name="_Toc327441327"/>
      <w:bookmarkStart w:id="29" w:name="_Toc461696201"/>
      <w:bookmarkStart w:id="30" w:name="_Toc33015831"/>
      <w:r w:rsidRPr="00E80CC8">
        <w:rPr>
          <w:lang w:val="en-US"/>
        </w:rPr>
        <w:lastRenderedPageBreak/>
        <w:t>Executive Summary</w:t>
      </w:r>
      <w:bookmarkEnd w:id="28"/>
      <w:bookmarkEnd w:id="29"/>
      <w:bookmarkEnd w:id="30"/>
    </w:p>
    <w:p w:rsidR="0042428A" w:rsidRPr="00A63374" w:rsidRDefault="0042428A" w:rsidP="0042428A">
      <w:pPr>
        <w:pStyle w:val="Heading2"/>
        <w:numPr>
          <w:ilvl w:val="0"/>
          <w:numId w:val="0"/>
        </w:numPr>
        <w:jc w:val="both"/>
        <w:rPr>
          <w:sz w:val="18"/>
          <w:szCs w:val="18"/>
        </w:rPr>
      </w:pPr>
      <w:r w:rsidRPr="00ED00FF">
        <w:t>Conclusions</w:t>
      </w:r>
      <w:r>
        <w:t>- Tenure and Affordability</w:t>
      </w:r>
    </w:p>
    <w:p w:rsidR="0042428A" w:rsidRDefault="0042428A" w:rsidP="0042428A">
      <w:pPr>
        <w:pStyle w:val="ListNumber"/>
        <w:rPr>
          <w:sz w:val="18"/>
          <w:szCs w:val="18"/>
        </w:rPr>
      </w:pPr>
      <w:r w:rsidRPr="00A63374">
        <w:rPr>
          <w:sz w:val="18"/>
          <w:szCs w:val="18"/>
        </w:rPr>
        <w:t xml:space="preserve">Reedham is </w:t>
      </w:r>
      <w:proofErr w:type="spellStart"/>
      <w:r w:rsidRPr="00A63374">
        <w:rPr>
          <w:sz w:val="18"/>
          <w:szCs w:val="18"/>
        </w:rPr>
        <w:t>characterised</w:t>
      </w:r>
      <w:proofErr w:type="spellEnd"/>
      <w:r w:rsidRPr="00A63374">
        <w:rPr>
          <w:sz w:val="18"/>
          <w:szCs w:val="18"/>
        </w:rPr>
        <w:t xml:space="preserve"> by a relatively high proportion of home ownership</w:t>
      </w:r>
      <w:r>
        <w:rPr>
          <w:sz w:val="18"/>
          <w:szCs w:val="18"/>
        </w:rPr>
        <w:t xml:space="preserve"> (70.3%)</w:t>
      </w:r>
      <w:r w:rsidRPr="00A63374">
        <w:rPr>
          <w:sz w:val="18"/>
          <w:szCs w:val="18"/>
        </w:rPr>
        <w:t>, as opposed to private and social renting, when compared to England as a whole. While this could be taken to indicate a housing market where home ownership is within reach of most people, a more detailed analysis of affordability reveals that this is not the case.</w:t>
      </w:r>
      <w:r>
        <w:rPr>
          <w:sz w:val="18"/>
          <w:szCs w:val="18"/>
        </w:rPr>
        <w:t xml:space="preserve"> </w:t>
      </w:r>
    </w:p>
    <w:p w:rsidR="0042428A" w:rsidRPr="00A63374" w:rsidRDefault="0042428A" w:rsidP="0042428A">
      <w:pPr>
        <w:pStyle w:val="ListNumber"/>
        <w:rPr>
          <w:sz w:val="18"/>
          <w:szCs w:val="18"/>
        </w:rPr>
      </w:pPr>
      <w:r>
        <w:rPr>
          <w:sz w:val="18"/>
          <w:szCs w:val="18"/>
        </w:rPr>
        <w:t>Overall, houses prices have grown over the past 10 years. The mean price of houses has risen by approximately 65%, with semi-detached homes experiencing moderately greater price rises than other types.</w:t>
      </w:r>
    </w:p>
    <w:p w:rsidR="0042428A" w:rsidRPr="00A63374" w:rsidRDefault="0042428A" w:rsidP="0042428A">
      <w:pPr>
        <w:pStyle w:val="ListNumber"/>
        <w:rPr>
          <w:sz w:val="18"/>
          <w:szCs w:val="18"/>
        </w:rPr>
      </w:pPr>
      <w:r w:rsidRPr="00A63374">
        <w:rPr>
          <w:sz w:val="18"/>
          <w:szCs w:val="18"/>
        </w:rPr>
        <w:t xml:space="preserve">Private renting is comparatively uncommon in Reedham, despite rising significantly between 2001 and 2011 (as did shared ownership and social rent, from a low base). </w:t>
      </w:r>
    </w:p>
    <w:p w:rsidR="0042428A" w:rsidRPr="00A63374" w:rsidRDefault="0042428A" w:rsidP="0042428A">
      <w:pPr>
        <w:pStyle w:val="ListNumber"/>
        <w:rPr>
          <w:sz w:val="18"/>
          <w:szCs w:val="18"/>
        </w:rPr>
      </w:pPr>
      <w:r w:rsidRPr="00A63374">
        <w:rPr>
          <w:sz w:val="18"/>
          <w:szCs w:val="18"/>
        </w:rPr>
        <w:t>Given that social rent is the only secure tenure within reach of dual-earning households on lower quartile incomes (though some may access private rented dwellings through housing benefit), a lack of social or affordable rented dwellings is the principle affordability challenge for Reedham residents.</w:t>
      </w:r>
    </w:p>
    <w:p w:rsidR="0042428A" w:rsidRPr="00A63374" w:rsidRDefault="0042428A" w:rsidP="0042428A">
      <w:pPr>
        <w:pStyle w:val="ListNumber"/>
        <w:rPr>
          <w:sz w:val="18"/>
          <w:szCs w:val="18"/>
        </w:rPr>
      </w:pPr>
      <w:r w:rsidRPr="00A63374">
        <w:rPr>
          <w:sz w:val="18"/>
          <w:szCs w:val="18"/>
        </w:rPr>
        <w:t>To ensure that other households on lower than average incomes can afford to continue living in Reedham and that the high number of overcrowded households can have the opportunity to form their own independent households, it will also be important to increase the quantity of affordable routes to home ownership – especially if reforms to welfare including housing benefit are implemented in the coming years.</w:t>
      </w:r>
    </w:p>
    <w:p w:rsidR="0042428A" w:rsidRPr="00A63374" w:rsidRDefault="0042428A" w:rsidP="0042428A">
      <w:pPr>
        <w:pStyle w:val="ListNumber"/>
        <w:rPr>
          <w:sz w:val="18"/>
          <w:szCs w:val="18"/>
        </w:rPr>
      </w:pPr>
      <w:r w:rsidRPr="00A63374">
        <w:rPr>
          <w:sz w:val="18"/>
          <w:szCs w:val="18"/>
        </w:rPr>
        <w:t>Affordable Housing is typically provided and made financially viable by Borough-wide planning policies that require it to be included at a set proportion of larger market housing developments. This policy expectation in Reedham, expressed in Reedham’s adopted Joint Core Strategy is that 40% of new housing on developments</w:t>
      </w:r>
      <w:r>
        <w:rPr>
          <w:sz w:val="18"/>
          <w:szCs w:val="18"/>
        </w:rPr>
        <w:t xml:space="preserve"> should be affordable. </w:t>
      </w:r>
    </w:p>
    <w:p w:rsidR="0042428A" w:rsidRPr="00A63374" w:rsidRDefault="0042428A" w:rsidP="0042428A">
      <w:pPr>
        <w:pStyle w:val="ListNumber"/>
        <w:rPr>
          <w:sz w:val="18"/>
          <w:szCs w:val="18"/>
        </w:rPr>
      </w:pPr>
      <w:r>
        <w:rPr>
          <w:sz w:val="18"/>
          <w:szCs w:val="18"/>
        </w:rPr>
        <w:t>I</w:t>
      </w:r>
      <w:r w:rsidRPr="00A63374">
        <w:rPr>
          <w:sz w:val="18"/>
          <w:szCs w:val="18"/>
        </w:rPr>
        <w:t xml:space="preserve">f the indicative </w:t>
      </w:r>
      <w:proofErr w:type="gramStart"/>
      <w:r w:rsidRPr="00A63374">
        <w:rPr>
          <w:sz w:val="18"/>
          <w:szCs w:val="18"/>
        </w:rPr>
        <w:t>figure of 50-60 dwellings proposed for Reedham</w:t>
      </w:r>
      <w:r>
        <w:rPr>
          <w:sz w:val="18"/>
          <w:szCs w:val="18"/>
        </w:rPr>
        <w:t xml:space="preserve"> are</w:t>
      </w:r>
      <w:proofErr w:type="gramEnd"/>
      <w:r>
        <w:rPr>
          <w:sz w:val="18"/>
          <w:szCs w:val="18"/>
        </w:rPr>
        <w:t xml:space="preserve"> delivered,</w:t>
      </w:r>
      <w:r w:rsidRPr="00A63374">
        <w:rPr>
          <w:sz w:val="18"/>
          <w:szCs w:val="18"/>
        </w:rPr>
        <w:t xml:space="preserve"> </w:t>
      </w:r>
      <w:r>
        <w:rPr>
          <w:sz w:val="18"/>
          <w:szCs w:val="18"/>
        </w:rPr>
        <w:t>approximately 20</w:t>
      </w:r>
      <w:r w:rsidRPr="00530CE5">
        <w:rPr>
          <w:sz w:val="18"/>
          <w:szCs w:val="18"/>
        </w:rPr>
        <w:t xml:space="preserve"> affordable homes </w:t>
      </w:r>
      <w:r>
        <w:rPr>
          <w:sz w:val="18"/>
          <w:szCs w:val="18"/>
        </w:rPr>
        <w:t>can be expected to come forward on</w:t>
      </w:r>
      <w:r w:rsidRPr="00A63374">
        <w:rPr>
          <w:sz w:val="18"/>
          <w:szCs w:val="18"/>
        </w:rPr>
        <w:t xml:space="preserve"> the basis of that policy requirement. </w:t>
      </w:r>
      <w:r>
        <w:rPr>
          <w:sz w:val="18"/>
          <w:szCs w:val="18"/>
        </w:rPr>
        <w:t>It is estimated that Reedham households will require 15 affordable rented dwellings and 50 affordable home ownership dwellings over the Plan period. It is clear that expected delivery of around 20 affordable homes</w:t>
      </w:r>
      <w:r w:rsidRPr="00A63374">
        <w:rPr>
          <w:sz w:val="18"/>
          <w:szCs w:val="18"/>
        </w:rPr>
        <w:t xml:space="preserve"> will not be enough to </w:t>
      </w:r>
      <w:r>
        <w:rPr>
          <w:sz w:val="18"/>
          <w:szCs w:val="18"/>
        </w:rPr>
        <w:t xml:space="preserve">provide both 15 affordable rented homes and 50 affordable home ownership units. This is true </w:t>
      </w:r>
      <w:r w:rsidRPr="00A63374">
        <w:rPr>
          <w:sz w:val="18"/>
          <w:szCs w:val="18"/>
        </w:rPr>
        <w:t xml:space="preserve">even if 88 dwellings were built over the </w:t>
      </w:r>
      <w:r>
        <w:rPr>
          <w:sz w:val="18"/>
          <w:szCs w:val="18"/>
        </w:rPr>
        <w:t>P</w:t>
      </w:r>
      <w:r w:rsidRPr="00A63374">
        <w:rPr>
          <w:sz w:val="18"/>
          <w:szCs w:val="18"/>
        </w:rPr>
        <w:t xml:space="preserve">lan period. </w:t>
      </w:r>
    </w:p>
    <w:p w:rsidR="0042428A" w:rsidRPr="00A63374" w:rsidRDefault="0042428A" w:rsidP="0042428A">
      <w:pPr>
        <w:pStyle w:val="ListNumber"/>
        <w:rPr>
          <w:sz w:val="18"/>
          <w:szCs w:val="18"/>
        </w:rPr>
      </w:pPr>
      <w:r w:rsidRPr="00A63374">
        <w:rPr>
          <w:sz w:val="18"/>
          <w:szCs w:val="18"/>
        </w:rPr>
        <w:t>Since the level of expected delivery is not sufficient to meet local need as evidenced in this HNA, it is critical that the 40% housing delivery requirement is met wherever possible in Reedham. Should the community wish to further boost the supply of Affordable Housing there are other routes available to providing it. For example, using community development orders, identifying exception sites or developing community land trusts are all tried and tested ways of increasing the supply of affordable housing above the minima indicated by Local Plan policy.</w:t>
      </w:r>
    </w:p>
    <w:p w:rsidR="0042428A" w:rsidRPr="00A63374" w:rsidRDefault="0042428A" w:rsidP="0042428A">
      <w:pPr>
        <w:pStyle w:val="ListNumber"/>
        <w:rPr>
          <w:sz w:val="18"/>
          <w:szCs w:val="18"/>
        </w:rPr>
      </w:pPr>
      <w:r>
        <w:rPr>
          <w:sz w:val="18"/>
          <w:szCs w:val="18"/>
        </w:rPr>
        <w:t>In order to ensure that the most urgent forms of housing need in Reedham are satisfied (i.e. the need for affordable rented housing from those on the lowest incomes)</w:t>
      </w:r>
      <w:r w:rsidRPr="00A63374">
        <w:rPr>
          <w:sz w:val="18"/>
          <w:szCs w:val="18"/>
        </w:rPr>
        <w:t xml:space="preserve">, it is recommended that approximately </w:t>
      </w:r>
      <w:r>
        <w:rPr>
          <w:sz w:val="18"/>
          <w:szCs w:val="18"/>
        </w:rPr>
        <w:t>60</w:t>
      </w:r>
      <w:r w:rsidRPr="00A63374">
        <w:rPr>
          <w:sz w:val="18"/>
          <w:szCs w:val="18"/>
        </w:rPr>
        <w:t>%</w:t>
      </w:r>
      <w:r>
        <w:rPr>
          <w:sz w:val="18"/>
          <w:szCs w:val="18"/>
        </w:rPr>
        <w:t xml:space="preserve"> of affordable housing</w:t>
      </w:r>
      <w:r w:rsidRPr="00A63374">
        <w:rPr>
          <w:sz w:val="18"/>
          <w:szCs w:val="18"/>
        </w:rPr>
        <w:t xml:space="preserve"> be offered as social or affordable rent, with the emphasis on social rent</w:t>
      </w:r>
      <w:r>
        <w:rPr>
          <w:sz w:val="18"/>
          <w:szCs w:val="18"/>
        </w:rPr>
        <w:t>,</w:t>
      </w:r>
      <w:r w:rsidRPr="00A63374">
        <w:rPr>
          <w:sz w:val="18"/>
          <w:szCs w:val="18"/>
        </w:rPr>
        <w:t xml:space="preserve"> and the remaining </w:t>
      </w:r>
      <w:r>
        <w:rPr>
          <w:sz w:val="18"/>
          <w:szCs w:val="18"/>
        </w:rPr>
        <w:t>40</w:t>
      </w:r>
      <w:r w:rsidRPr="00A63374">
        <w:rPr>
          <w:sz w:val="18"/>
          <w:szCs w:val="18"/>
        </w:rPr>
        <w:t>% delivered as affordable routes to home ownership, with the emphasis on shared ownership (which is</w:t>
      </w:r>
      <w:r>
        <w:rPr>
          <w:sz w:val="18"/>
          <w:szCs w:val="18"/>
        </w:rPr>
        <w:t xml:space="preserve"> more</w:t>
      </w:r>
      <w:r w:rsidRPr="00A63374">
        <w:rPr>
          <w:sz w:val="18"/>
          <w:szCs w:val="18"/>
        </w:rPr>
        <w:t xml:space="preserve"> affordable </w:t>
      </w:r>
      <w:r>
        <w:rPr>
          <w:sz w:val="18"/>
          <w:szCs w:val="18"/>
        </w:rPr>
        <w:t>than discounted market housing</w:t>
      </w:r>
      <w:r w:rsidRPr="00A63374">
        <w:rPr>
          <w:sz w:val="18"/>
          <w:szCs w:val="18"/>
        </w:rPr>
        <w:t xml:space="preserve">). </w:t>
      </w:r>
      <w:r>
        <w:rPr>
          <w:sz w:val="18"/>
          <w:szCs w:val="18"/>
        </w:rPr>
        <w:t>This tenure split is in line with Broadlands policy guidance.</w:t>
      </w:r>
    </w:p>
    <w:p w:rsidR="0042428A" w:rsidRPr="00C869B9" w:rsidRDefault="0042428A" w:rsidP="0042428A">
      <w:pPr>
        <w:pStyle w:val="ListNumber"/>
        <w:rPr>
          <w:sz w:val="18"/>
          <w:szCs w:val="18"/>
        </w:rPr>
      </w:pPr>
      <w:r w:rsidRPr="00A63374">
        <w:rPr>
          <w:sz w:val="18"/>
          <w:szCs w:val="18"/>
        </w:rPr>
        <w:t xml:space="preserve">The need to improve affordability in </w:t>
      </w:r>
      <w:r>
        <w:rPr>
          <w:sz w:val="18"/>
          <w:szCs w:val="18"/>
        </w:rPr>
        <w:t xml:space="preserve">Reedham </w:t>
      </w:r>
      <w:r w:rsidRPr="00A63374">
        <w:rPr>
          <w:sz w:val="18"/>
          <w:szCs w:val="18"/>
        </w:rPr>
        <w:t xml:space="preserve">across all tenures aligns with the findings in relation to the type and size of homes – that new residential development should ensure a substantial proportion of smaller dwellings. Increasing the proportion of smaller homes and more affordable types (as above) should help to rebalance the housing stock in </w:t>
      </w:r>
      <w:proofErr w:type="spellStart"/>
      <w:r w:rsidRPr="00A63374">
        <w:rPr>
          <w:sz w:val="18"/>
          <w:szCs w:val="18"/>
        </w:rPr>
        <w:t>favour</w:t>
      </w:r>
      <w:proofErr w:type="spellEnd"/>
      <w:r w:rsidRPr="00A63374">
        <w:rPr>
          <w:sz w:val="18"/>
          <w:szCs w:val="18"/>
        </w:rPr>
        <w:t xml:space="preserve"> of options that are both suitable to the population profile as it evolves over time and that will combat growing affordability challenges</w:t>
      </w:r>
      <w:r w:rsidRPr="00C869B9">
        <w:rPr>
          <w:sz w:val="18"/>
          <w:szCs w:val="18"/>
        </w:rPr>
        <w:t>.</w:t>
      </w:r>
    </w:p>
    <w:p w:rsidR="0042428A" w:rsidRDefault="0042428A" w:rsidP="0042428A">
      <w:pPr>
        <w:pStyle w:val="Heading2"/>
        <w:jc w:val="both"/>
      </w:pPr>
      <w:r w:rsidRPr="00D9035D">
        <w:t>Conclusions</w:t>
      </w:r>
      <w:r>
        <w:t>- Type and Size</w:t>
      </w:r>
    </w:p>
    <w:p w:rsidR="0042428A" w:rsidRDefault="0042428A" w:rsidP="0042428A">
      <w:pPr>
        <w:pStyle w:val="ListNumber"/>
        <w:widowControl w:val="0"/>
        <w:jc w:val="both"/>
        <w:rPr>
          <w:sz w:val="18"/>
          <w:szCs w:val="18"/>
        </w:rPr>
      </w:pPr>
      <w:r>
        <w:rPr>
          <w:sz w:val="18"/>
          <w:szCs w:val="18"/>
        </w:rPr>
        <w:t>This analysis provides an indication of the likely need for different types and sizes of homes based on demographic change. It is important to remember that other factors should be considered in determining the dwelling mix that is desirable in the NA or on any particular site. These include the characteristics of the existing stock of housing, the role of the NA or site within the wider housing market area (linked to any LA strategies or plans) and site specific factors which may justify a particular dwelling mix.</w:t>
      </w:r>
    </w:p>
    <w:p w:rsidR="0042428A" w:rsidRDefault="0042428A" w:rsidP="0042428A">
      <w:pPr>
        <w:pStyle w:val="ListNumber"/>
        <w:widowControl w:val="0"/>
        <w:jc w:val="both"/>
        <w:rPr>
          <w:sz w:val="18"/>
          <w:szCs w:val="18"/>
        </w:rPr>
      </w:pPr>
      <w:r>
        <w:rPr>
          <w:sz w:val="18"/>
          <w:szCs w:val="18"/>
        </w:rPr>
        <w:t xml:space="preserve">Reedham’s stock of existing housing is </w:t>
      </w:r>
      <w:proofErr w:type="spellStart"/>
      <w:r>
        <w:rPr>
          <w:sz w:val="18"/>
          <w:szCs w:val="18"/>
        </w:rPr>
        <w:t>characterised</w:t>
      </w:r>
      <w:proofErr w:type="spellEnd"/>
      <w:r>
        <w:rPr>
          <w:sz w:val="18"/>
          <w:szCs w:val="18"/>
        </w:rPr>
        <w:t xml:space="preserve"> by significantly higher proportions of detached houses and </w:t>
      </w:r>
      <w:r>
        <w:rPr>
          <w:sz w:val="18"/>
          <w:szCs w:val="18"/>
        </w:rPr>
        <w:lastRenderedPageBreak/>
        <w:t xml:space="preserve">homes with 3 bedrooms which is similar to </w:t>
      </w:r>
      <w:r w:rsidRPr="004747C5">
        <w:rPr>
          <w:sz w:val="18"/>
          <w:szCs w:val="18"/>
          <w:highlight w:val="yellow"/>
        </w:rPr>
        <w:t>Reedham</w:t>
      </w:r>
      <w:r>
        <w:rPr>
          <w:sz w:val="18"/>
          <w:szCs w:val="18"/>
        </w:rPr>
        <w:t xml:space="preserve"> and the rest of the UK. In addition, Reedham has no 1 bedroom units and a lack of two bedroom units.</w:t>
      </w:r>
    </w:p>
    <w:p w:rsidR="0042428A" w:rsidRDefault="0042428A" w:rsidP="0042428A">
      <w:pPr>
        <w:pStyle w:val="ListNumber"/>
        <w:widowControl w:val="0"/>
        <w:jc w:val="both"/>
        <w:rPr>
          <w:sz w:val="18"/>
          <w:szCs w:val="18"/>
        </w:rPr>
      </w:pPr>
      <w:r>
        <w:rPr>
          <w:sz w:val="18"/>
          <w:szCs w:val="18"/>
        </w:rPr>
        <w:t xml:space="preserve">Detached housing represents a higher proportion of all housing in Reedham compared to the situation across England as a whole. 46.4% of houses within Reedham are detached compared to 22.4% in England. </w:t>
      </w:r>
    </w:p>
    <w:p w:rsidR="0042428A" w:rsidRDefault="0042428A" w:rsidP="0042428A">
      <w:pPr>
        <w:pStyle w:val="ListNumber"/>
        <w:jc w:val="both"/>
        <w:rPr>
          <w:sz w:val="18"/>
        </w:rPr>
      </w:pPr>
      <w:r>
        <w:rPr>
          <w:sz w:val="18"/>
        </w:rPr>
        <w:t xml:space="preserve">The age profile of the Reedham population is broadly similar to that of the wider Borough, except for </w:t>
      </w:r>
      <w:r w:rsidRPr="0091552C">
        <w:rPr>
          <w:sz w:val="18"/>
        </w:rPr>
        <w:t>a substantially higher share of the population aged 45-</w:t>
      </w:r>
      <w:r>
        <w:rPr>
          <w:sz w:val="18"/>
        </w:rPr>
        <w:t>8</w:t>
      </w:r>
      <w:r w:rsidRPr="0091552C">
        <w:rPr>
          <w:sz w:val="18"/>
        </w:rPr>
        <w:t xml:space="preserve">4 – a group that is likely to reach retirement age over the Plan period to 2034 and will become </w:t>
      </w:r>
      <w:r>
        <w:rPr>
          <w:sz w:val="18"/>
        </w:rPr>
        <w:t>a</w:t>
      </w:r>
      <w:r w:rsidRPr="0091552C">
        <w:rPr>
          <w:sz w:val="18"/>
        </w:rPr>
        <w:t xml:space="preserve"> source of demand for housing, whether they intend to occupy the same dwellings they currently live in, or perhaps move within the community to a home better suited to the size of their household or their evolving needs.</w:t>
      </w:r>
      <w:r w:rsidRPr="00600644">
        <w:rPr>
          <w:sz w:val="18"/>
          <w:szCs w:val="18"/>
        </w:rPr>
        <w:t xml:space="preserve"> </w:t>
      </w:r>
      <w:r>
        <w:rPr>
          <w:sz w:val="18"/>
          <w:szCs w:val="18"/>
        </w:rPr>
        <w:t>In addition, the younger age brackets, particularly children aged 0-15 and 16-24 year olds have also increased. This suggests that more families are able to move to the area’s sufficient provision of suitable dwellings (2-4 bedroom homes).</w:t>
      </w:r>
    </w:p>
    <w:p w:rsidR="0042428A" w:rsidRPr="0091552C" w:rsidRDefault="0042428A" w:rsidP="0042428A">
      <w:pPr>
        <w:pStyle w:val="ListNumber"/>
        <w:jc w:val="both"/>
        <w:rPr>
          <w:sz w:val="18"/>
        </w:rPr>
      </w:pPr>
      <w:r>
        <w:rPr>
          <w:sz w:val="18"/>
        </w:rPr>
        <w:t>Seen in the context of Reedham’s comparatively large stock of dwellings, trends towards older households and young families may warrant a Neighbourhood Plan policy intervention to restrict the future supply of very large dwellings to some extent. Therefore, it may be beneficial also to encourage the provision of mid-sized housing suitable for this demand segment.</w:t>
      </w:r>
    </w:p>
    <w:p w:rsidR="0042428A" w:rsidRPr="00327DD3" w:rsidRDefault="0042428A" w:rsidP="0042428A">
      <w:pPr>
        <w:pStyle w:val="ListNumber"/>
        <w:jc w:val="both"/>
        <w:rPr>
          <w:sz w:val="18"/>
        </w:rPr>
      </w:pPr>
      <w:r>
        <w:rPr>
          <w:color w:val="auto"/>
          <w:sz w:val="18"/>
        </w:rPr>
        <w:t>The results of a life-stage modelling exercise, which looks at the sizes of dwelling occupied by different age groups and projects the growth and decline of those age groups over the Plan period in order to understand what should be built, corroborates this finding. The recommended size mix of new housing focuses on dwellings of 1 to 3 bedrooms, and suggests that no further large dwellings are needed.</w:t>
      </w:r>
    </w:p>
    <w:p w:rsidR="0042428A" w:rsidRPr="00A63374" w:rsidRDefault="0042428A" w:rsidP="0042428A">
      <w:pPr>
        <w:pStyle w:val="ListNumber"/>
        <w:widowControl w:val="0"/>
        <w:jc w:val="both"/>
        <w:rPr>
          <w:sz w:val="18"/>
          <w:szCs w:val="18"/>
        </w:rPr>
      </w:pPr>
      <w:r>
        <w:rPr>
          <w:color w:val="auto"/>
          <w:sz w:val="18"/>
        </w:rPr>
        <w:t>This model, however, operates on the assumption that households can and will wish to move freely around the stock of existing housing, which is not a realistic prospect. It is natural, then, that demand should continue for some larger dwellings. The provision of larger homes should not be inhibited entirely (though some of that demand will be met by natural churn within the market), but to the extent that the Reedham Parish Council wish to influence the size mix of housing coming forward, smaller homes should be the priority.</w:t>
      </w:r>
    </w:p>
    <w:p w:rsidR="0042428A" w:rsidRPr="004747C5" w:rsidRDefault="0042428A" w:rsidP="0042428A">
      <w:pPr>
        <w:pStyle w:val="ListNumber"/>
        <w:rPr>
          <w:sz w:val="18"/>
          <w:szCs w:val="18"/>
        </w:rPr>
      </w:pPr>
      <w:r w:rsidRPr="00901962">
        <w:rPr>
          <w:sz w:val="18"/>
        </w:rPr>
        <w:t xml:space="preserve">In the Tenure and Affordability chapter analysis, it was found that market housing for </w:t>
      </w:r>
      <w:r>
        <w:rPr>
          <w:sz w:val="18"/>
        </w:rPr>
        <w:t>sale (as opposed to market housing for rent and all types of Affordable Housing)</w:t>
      </w:r>
      <w:r w:rsidRPr="00901962">
        <w:rPr>
          <w:sz w:val="18"/>
        </w:rPr>
        <w:t xml:space="preserve"> is increasingly unaffordable and that those on the lowest incomes are unable to afford to live outside of the </w:t>
      </w:r>
      <w:r>
        <w:rPr>
          <w:sz w:val="18"/>
        </w:rPr>
        <w:t xml:space="preserve">affordable </w:t>
      </w:r>
      <w:r w:rsidRPr="00901962">
        <w:rPr>
          <w:sz w:val="18"/>
        </w:rPr>
        <w:t xml:space="preserve">rented sector. While Affordable Housing should be well balanced in terms of size to cater for all circumstances, the provision of smaller homes for sale and </w:t>
      </w:r>
      <w:r w:rsidRPr="00B56BBA">
        <w:rPr>
          <w:sz w:val="18"/>
        </w:rPr>
        <w:t xml:space="preserve">rent, as advised here, should make an important contribution to improving affordability more widely. If older </w:t>
      </w:r>
      <w:proofErr w:type="gramStart"/>
      <w:r w:rsidRPr="00B56BBA">
        <w:rPr>
          <w:sz w:val="18"/>
        </w:rPr>
        <w:t>households wishing</w:t>
      </w:r>
      <w:proofErr w:type="gramEnd"/>
      <w:r w:rsidRPr="00B56BBA">
        <w:rPr>
          <w:sz w:val="18"/>
        </w:rPr>
        <w:t xml:space="preserve"> to </w:t>
      </w:r>
      <w:proofErr w:type="spellStart"/>
      <w:r w:rsidRPr="00B56BBA">
        <w:rPr>
          <w:sz w:val="18"/>
        </w:rPr>
        <w:t>rightsize</w:t>
      </w:r>
      <w:proofErr w:type="spellEnd"/>
      <w:r w:rsidRPr="00B56BBA">
        <w:rPr>
          <w:sz w:val="18"/>
        </w:rPr>
        <w:t xml:space="preserve"> and younger ones seeking to form their own independent households are to be able to afford to live in </w:t>
      </w:r>
      <w:r>
        <w:rPr>
          <w:sz w:val="18"/>
        </w:rPr>
        <w:t>Reedham</w:t>
      </w:r>
      <w:r w:rsidRPr="00B56BBA">
        <w:rPr>
          <w:sz w:val="18"/>
        </w:rPr>
        <w:t xml:space="preserve">, increasing the provision of small and mid-size homes and, in so doing, rebalancing the housing stock away from very </w:t>
      </w:r>
      <w:r w:rsidRPr="004747C5">
        <w:rPr>
          <w:sz w:val="18"/>
          <w:szCs w:val="18"/>
        </w:rPr>
        <w:t>large housing, will be key.</w:t>
      </w:r>
    </w:p>
    <w:p w:rsidR="002C2D5C" w:rsidRPr="00747D45" w:rsidRDefault="0042428A" w:rsidP="0042428A">
      <w:pPr>
        <w:pStyle w:val="ListNumber"/>
        <w:rPr>
          <w:rFonts w:eastAsiaTheme="majorEastAsia" w:cstheme="majorBidi"/>
          <w:color w:val="00B5E2" w:themeColor="accent1"/>
          <w:szCs w:val="18"/>
          <w:highlight w:val="lightGray"/>
        </w:rPr>
      </w:pPr>
      <w:r w:rsidRPr="004747C5">
        <w:rPr>
          <w:sz w:val="18"/>
          <w:szCs w:val="18"/>
        </w:rPr>
        <w:t xml:space="preserve">In terms of the types of dwellings required, the current predominance of detached dwellings, compared with national trends, suggests that there may be some unmet demand for the rarer and generally more affordable dwelling types, such as terraced homes and particularly flats. The size recommendation for smaller homes would align with this. This might also include the delivery of bungalows in order to meet the needs of some older households and to reflect the fact that other smaller dwelling types, such as apartments, </w:t>
      </w:r>
      <w:proofErr w:type="gramStart"/>
      <w:r w:rsidRPr="004747C5">
        <w:rPr>
          <w:sz w:val="18"/>
          <w:szCs w:val="18"/>
        </w:rPr>
        <w:t>may</w:t>
      </w:r>
      <w:proofErr w:type="gramEnd"/>
      <w:r w:rsidRPr="004747C5">
        <w:rPr>
          <w:sz w:val="18"/>
          <w:szCs w:val="18"/>
        </w:rPr>
        <w:t xml:space="preserve"> not in practice be popular market propositions in a rural area like Reedham.</w:t>
      </w:r>
      <w:r>
        <w:t xml:space="preserve"> </w:t>
      </w:r>
      <w:r w:rsidR="002C2D5C" w:rsidRPr="00747D45">
        <w:rPr>
          <w:szCs w:val="18"/>
          <w:highlight w:val="lightGray"/>
        </w:rPr>
        <w:br w:type="page"/>
      </w:r>
    </w:p>
    <w:p w:rsidR="002C2D5C" w:rsidRPr="009925FE" w:rsidRDefault="002C2D5C" w:rsidP="002C2D5C">
      <w:pPr>
        <w:pStyle w:val="Heading1"/>
        <w:jc w:val="both"/>
        <w:rPr>
          <w:lang w:val="en-US"/>
        </w:rPr>
      </w:pPr>
      <w:bookmarkStart w:id="31" w:name="_Toc33015832"/>
      <w:r w:rsidRPr="00E80CC8">
        <w:rPr>
          <w:lang w:val="en-US"/>
        </w:rPr>
        <w:lastRenderedPageBreak/>
        <w:t>Context</w:t>
      </w:r>
      <w:bookmarkStart w:id="32" w:name="_Toc425332010"/>
      <w:bookmarkStart w:id="33" w:name="_Toc461696212"/>
      <w:bookmarkEnd w:id="31"/>
    </w:p>
    <w:p w:rsidR="002C2D5C" w:rsidRPr="005431FF" w:rsidRDefault="002C2D5C" w:rsidP="002C2D5C">
      <w:pPr>
        <w:pStyle w:val="Heading2"/>
        <w:jc w:val="both"/>
      </w:pPr>
      <w:bookmarkStart w:id="34" w:name="_Toc33015833"/>
      <w:r w:rsidRPr="005431FF">
        <w:t>Local context</w:t>
      </w:r>
      <w:bookmarkEnd w:id="34"/>
    </w:p>
    <w:p w:rsidR="002C2D5C" w:rsidRDefault="00934675" w:rsidP="002C2D5C">
      <w:pPr>
        <w:pStyle w:val="ListNumber"/>
        <w:widowControl w:val="0"/>
        <w:jc w:val="both"/>
        <w:rPr>
          <w:sz w:val="18"/>
          <w:szCs w:val="18"/>
        </w:rPr>
      </w:pPr>
      <w:bookmarkStart w:id="35" w:name="_Copy"/>
      <w:r>
        <w:rPr>
          <w:sz w:val="18"/>
          <w:szCs w:val="18"/>
        </w:rPr>
        <w:t>Reedham</w:t>
      </w:r>
      <w:r w:rsidR="00591064">
        <w:rPr>
          <w:sz w:val="18"/>
          <w:szCs w:val="18"/>
        </w:rPr>
        <w:t xml:space="preserve"> is</w:t>
      </w:r>
      <w:r w:rsidR="002C2D5C" w:rsidRPr="00747D45">
        <w:rPr>
          <w:sz w:val="18"/>
          <w:szCs w:val="18"/>
        </w:rPr>
        <w:t xml:space="preserve"> </w:t>
      </w:r>
      <w:r w:rsidR="00450792">
        <w:rPr>
          <w:sz w:val="18"/>
          <w:szCs w:val="18"/>
        </w:rPr>
        <w:t>a Neighbourhood P</w:t>
      </w:r>
      <w:r w:rsidR="00591064">
        <w:rPr>
          <w:sz w:val="18"/>
          <w:szCs w:val="18"/>
        </w:rPr>
        <w:t xml:space="preserve">lan area </w:t>
      </w:r>
      <w:r w:rsidR="002C2D5C" w:rsidRPr="00747D45">
        <w:rPr>
          <w:sz w:val="18"/>
          <w:szCs w:val="18"/>
        </w:rPr>
        <w:t xml:space="preserve">located in </w:t>
      </w:r>
      <w:r>
        <w:rPr>
          <w:sz w:val="18"/>
          <w:szCs w:val="18"/>
        </w:rPr>
        <w:t>Broadland</w:t>
      </w:r>
      <w:r w:rsidR="002C2D5C" w:rsidRPr="00747D45">
        <w:rPr>
          <w:sz w:val="18"/>
          <w:szCs w:val="18"/>
        </w:rPr>
        <w:t xml:space="preserve">, </w:t>
      </w:r>
      <w:r>
        <w:rPr>
          <w:sz w:val="18"/>
          <w:szCs w:val="18"/>
        </w:rPr>
        <w:t>Norfolk</w:t>
      </w:r>
      <w:r w:rsidR="002C2D5C" w:rsidRPr="00747D45">
        <w:rPr>
          <w:sz w:val="18"/>
          <w:szCs w:val="18"/>
        </w:rPr>
        <w:t xml:space="preserve">. The Neighbourhood Area (NA) boundary </w:t>
      </w:r>
      <w:r w:rsidR="008F1AE9">
        <w:rPr>
          <w:sz w:val="18"/>
          <w:szCs w:val="18"/>
        </w:rPr>
        <w:t xml:space="preserve">aligns with that of the parish, </w:t>
      </w:r>
      <w:r w:rsidR="002C2D5C" w:rsidRPr="00747D45">
        <w:rPr>
          <w:sz w:val="18"/>
          <w:szCs w:val="18"/>
        </w:rPr>
        <w:t>compris</w:t>
      </w:r>
      <w:r w:rsidR="008F1AE9">
        <w:rPr>
          <w:sz w:val="18"/>
          <w:szCs w:val="18"/>
        </w:rPr>
        <w:t>ing</w:t>
      </w:r>
      <w:r w:rsidR="002C2D5C" w:rsidRPr="00747D45">
        <w:rPr>
          <w:sz w:val="18"/>
          <w:szCs w:val="18"/>
        </w:rPr>
        <w:t xml:space="preserve"> </w:t>
      </w:r>
      <w:r w:rsidR="00F44445">
        <w:rPr>
          <w:sz w:val="18"/>
          <w:szCs w:val="18"/>
        </w:rPr>
        <w:t>the village of Reedham</w:t>
      </w:r>
      <w:r w:rsidR="002C2D5C" w:rsidRPr="00747D45">
        <w:rPr>
          <w:sz w:val="18"/>
          <w:szCs w:val="18"/>
        </w:rPr>
        <w:t xml:space="preserve"> </w:t>
      </w:r>
      <w:r w:rsidR="00184240">
        <w:rPr>
          <w:sz w:val="18"/>
          <w:szCs w:val="18"/>
        </w:rPr>
        <w:t>and surrounding countryside</w:t>
      </w:r>
      <w:r w:rsidR="00B52DDB">
        <w:rPr>
          <w:sz w:val="18"/>
          <w:szCs w:val="18"/>
        </w:rPr>
        <w:t xml:space="preserve">. The NA </w:t>
      </w:r>
      <w:r w:rsidR="002C2D5C" w:rsidRPr="00747D45">
        <w:rPr>
          <w:sz w:val="18"/>
          <w:szCs w:val="18"/>
        </w:rPr>
        <w:t xml:space="preserve">was designated in </w:t>
      </w:r>
      <w:r w:rsidR="00C10D83">
        <w:rPr>
          <w:sz w:val="18"/>
          <w:szCs w:val="18"/>
        </w:rPr>
        <w:t>April 2019</w:t>
      </w:r>
      <w:r w:rsidR="00C124D2">
        <w:rPr>
          <w:sz w:val="18"/>
          <w:szCs w:val="18"/>
        </w:rPr>
        <w:t>.</w:t>
      </w:r>
    </w:p>
    <w:p w:rsidR="00C124D2" w:rsidRPr="00747D45" w:rsidRDefault="00C124D2" w:rsidP="002C2D5C">
      <w:pPr>
        <w:pStyle w:val="ListNumber"/>
        <w:widowControl w:val="0"/>
        <w:jc w:val="both"/>
        <w:rPr>
          <w:sz w:val="18"/>
          <w:szCs w:val="18"/>
        </w:rPr>
      </w:pPr>
      <w:r>
        <w:rPr>
          <w:sz w:val="18"/>
          <w:szCs w:val="18"/>
        </w:rPr>
        <w:t xml:space="preserve">The proposed Neighbourhood Plan period starts in </w:t>
      </w:r>
      <w:r w:rsidR="00F44445">
        <w:rPr>
          <w:sz w:val="18"/>
          <w:szCs w:val="18"/>
        </w:rPr>
        <w:t>2020</w:t>
      </w:r>
      <w:r>
        <w:rPr>
          <w:sz w:val="18"/>
          <w:szCs w:val="18"/>
        </w:rPr>
        <w:t xml:space="preserve"> and extends to </w:t>
      </w:r>
      <w:r w:rsidR="00F44445">
        <w:rPr>
          <w:sz w:val="18"/>
          <w:szCs w:val="18"/>
        </w:rPr>
        <w:t>2036</w:t>
      </w:r>
      <w:r>
        <w:rPr>
          <w:sz w:val="18"/>
          <w:szCs w:val="18"/>
        </w:rPr>
        <w:t xml:space="preserve">, therefore comprising a planning period of </w:t>
      </w:r>
      <w:r w:rsidR="00F44445">
        <w:rPr>
          <w:sz w:val="18"/>
          <w:szCs w:val="18"/>
        </w:rPr>
        <w:t>16</w:t>
      </w:r>
      <w:r>
        <w:rPr>
          <w:sz w:val="18"/>
          <w:szCs w:val="18"/>
        </w:rPr>
        <w:t xml:space="preserve"> years.</w:t>
      </w:r>
    </w:p>
    <w:p w:rsidR="002C2D5C" w:rsidRPr="00916E2C" w:rsidRDefault="00B570AE" w:rsidP="00916E2C">
      <w:pPr>
        <w:pStyle w:val="ListNumber"/>
        <w:widowControl w:val="0"/>
        <w:jc w:val="both"/>
        <w:rPr>
          <w:sz w:val="18"/>
          <w:szCs w:val="18"/>
        </w:rPr>
      </w:pPr>
      <w:r>
        <w:rPr>
          <w:sz w:val="18"/>
          <w:szCs w:val="18"/>
        </w:rPr>
        <w:t>The NA is located at the southwestern edge of the Broadland Authority Boundary,</w:t>
      </w:r>
      <w:r w:rsidR="008621D9">
        <w:rPr>
          <w:sz w:val="18"/>
          <w:szCs w:val="18"/>
        </w:rPr>
        <w:t xml:space="preserve"> and</w:t>
      </w:r>
      <w:r>
        <w:rPr>
          <w:sz w:val="18"/>
          <w:szCs w:val="18"/>
        </w:rPr>
        <w:t xml:space="preserve"> h</w:t>
      </w:r>
      <w:r w:rsidR="00184240">
        <w:rPr>
          <w:sz w:val="18"/>
          <w:szCs w:val="18"/>
        </w:rPr>
        <w:t xml:space="preserve">alf of the NA is </w:t>
      </w:r>
      <w:r>
        <w:rPr>
          <w:sz w:val="18"/>
          <w:szCs w:val="18"/>
        </w:rPr>
        <w:t xml:space="preserve">also </w:t>
      </w:r>
      <w:r w:rsidR="00184240">
        <w:rPr>
          <w:sz w:val="18"/>
          <w:szCs w:val="18"/>
        </w:rPr>
        <w:t>within Broads Authority Boundary</w:t>
      </w:r>
      <w:r>
        <w:rPr>
          <w:sz w:val="18"/>
          <w:szCs w:val="18"/>
        </w:rPr>
        <w:t xml:space="preserve">. </w:t>
      </w:r>
      <w:r w:rsidR="00916E2C">
        <w:rPr>
          <w:sz w:val="18"/>
          <w:szCs w:val="18"/>
        </w:rPr>
        <w:t>Reedham is 12 miles east of the city of Norwich, 7.5 miles south-west of the town of Great Yarmouth and 7.5 miles north -west of the Suffolk town of Lowestoft</w:t>
      </w:r>
      <w:r w:rsidR="008621D9">
        <w:rPr>
          <w:sz w:val="18"/>
          <w:szCs w:val="18"/>
        </w:rPr>
        <w:t>. Reedham is situated on the north</w:t>
      </w:r>
      <w:r w:rsidR="00CC5042">
        <w:rPr>
          <w:sz w:val="18"/>
          <w:szCs w:val="18"/>
        </w:rPr>
        <w:t xml:space="preserve"> </w:t>
      </w:r>
      <w:r w:rsidR="005B4ED4">
        <w:rPr>
          <w:sz w:val="18"/>
          <w:szCs w:val="18"/>
        </w:rPr>
        <w:t>bank</w:t>
      </w:r>
      <w:r w:rsidR="008621D9">
        <w:rPr>
          <w:sz w:val="18"/>
          <w:szCs w:val="18"/>
        </w:rPr>
        <w:t xml:space="preserve"> of the River Yare. </w:t>
      </w:r>
      <w:r>
        <w:rPr>
          <w:sz w:val="18"/>
          <w:szCs w:val="18"/>
        </w:rPr>
        <w:t>The nearest main road is the A47</w:t>
      </w:r>
      <w:r w:rsidR="001B7F5F">
        <w:rPr>
          <w:sz w:val="18"/>
          <w:szCs w:val="18"/>
        </w:rPr>
        <w:t xml:space="preserve"> which is approximately 5.5 miles </w:t>
      </w:r>
      <w:r w:rsidR="008621D9">
        <w:rPr>
          <w:sz w:val="18"/>
          <w:szCs w:val="18"/>
        </w:rPr>
        <w:t xml:space="preserve">north of </w:t>
      </w:r>
      <w:r w:rsidR="001B7F5F">
        <w:rPr>
          <w:sz w:val="18"/>
          <w:szCs w:val="18"/>
        </w:rPr>
        <w:t>Reedham</w:t>
      </w:r>
      <w:r w:rsidR="008621D9">
        <w:rPr>
          <w:sz w:val="18"/>
          <w:szCs w:val="18"/>
        </w:rPr>
        <w:t xml:space="preserve">, </w:t>
      </w:r>
      <w:r w:rsidR="00CC5042">
        <w:rPr>
          <w:sz w:val="18"/>
          <w:szCs w:val="18"/>
        </w:rPr>
        <w:t xml:space="preserve">while </w:t>
      </w:r>
      <w:r w:rsidR="008621D9">
        <w:rPr>
          <w:sz w:val="18"/>
          <w:szCs w:val="18"/>
        </w:rPr>
        <w:t xml:space="preserve">small roads connect Reedham to the nearby villages </w:t>
      </w:r>
      <w:r w:rsidR="00916E2C">
        <w:rPr>
          <w:sz w:val="18"/>
          <w:szCs w:val="18"/>
        </w:rPr>
        <w:t xml:space="preserve">of </w:t>
      </w:r>
      <w:proofErr w:type="spellStart"/>
      <w:r w:rsidR="008621D9">
        <w:rPr>
          <w:sz w:val="18"/>
          <w:szCs w:val="18"/>
        </w:rPr>
        <w:t>Cantley</w:t>
      </w:r>
      <w:proofErr w:type="spellEnd"/>
      <w:r w:rsidR="00916E2C">
        <w:rPr>
          <w:sz w:val="18"/>
          <w:szCs w:val="18"/>
        </w:rPr>
        <w:t>, Freethorpe</w:t>
      </w:r>
      <w:r w:rsidR="008621D9">
        <w:rPr>
          <w:sz w:val="18"/>
          <w:szCs w:val="18"/>
        </w:rPr>
        <w:t xml:space="preserve"> and Halvergate</w:t>
      </w:r>
      <w:r w:rsidR="001B7F5F">
        <w:rPr>
          <w:sz w:val="18"/>
          <w:szCs w:val="18"/>
        </w:rPr>
        <w:t xml:space="preserve">. </w:t>
      </w:r>
      <w:r w:rsidR="00184240" w:rsidRPr="00916E2C">
        <w:rPr>
          <w:sz w:val="18"/>
          <w:szCs w:val="18"/>
        </w:rPr>
        <w:t>The NA has good rail links as Reedham has its own train station</w:t>
      </w:r>
      <w:r w:rsidR="00916E2C">
        <w:rPr>
          <w:sz w:val="18"/>
          <w:szCs w:val="18"/>
        </w:rPr>
        <w:t xml:space="preserve"> (Reedham, Norfolk)</w:t>
      </w:r>
      <w:r w:rsidR="00184240" w:rsidRPr="00916E2C">
        <w:rPr>
          <w:sz w:val="18"/>
          <w:szCs w:val="18"/>
        </w:rPr>
        <w:t xml:space="preserve"> which has direct train</w:t>
      </w:r>
      <w:r w:rsidR="00916E2C">
        <w:rPr>
          <w:sz w:val="18"/>
          <w:szCs w:val="18"/>
        </w:rPr>
        <w:t>s</w:t>
      </w:r>
      <w:r w:rsidR="00184240" w:rsidRPr="00916E2C">
        <w:rPr>
          <w:sz w:val="18"/>
          <w:szCs w:val="18"/>
        </w:rPr>
        <w:t xml:space="preserve"> to Norwich and Lowestoft. </w:t>
      </w:r>
    </w:p>
    <w:p w:rsidR="002C2D5C" w:rsidRPr="008210FE" w:rsidRDefault="002C2D5C" w:rsidP="002C2D5C">
      <w:pPr>
        <w:pStyle w:val="ListNumber"/>
        <w:spacing w:before="0"/>
        <w:jc w:val="both"/>
        <w:rPr>
          <w:sz w:val="18"/>
          <w:szCs w:val="18"/>
        </w:rPr>
      </w:pPr>
      <w:r w:rsidRPr="008210FE">
        <w:rPr>
          <w:sz w:val="18"/>
          <w:szCs w:val="18"/>
        </w:rPr>
        <w:t xml:space="preserve">For </w:t>
      </w:r>
      <w:r w:rsidR="00450792" w:rsidRPr="008210FE">
        <w:rPr>
          <w:sz w:val="18"/>
          <w:szCs w:val="18"/>
        </w:rPr>
        <w:t>Census purposes, the Neighbourhood P</w:t>
      </w:r>
      <w:r w:rsidR="005F50BC" w:rsidRPr="008210FE">
        <w:rPr>
          <w:sz w:val="18"/>
          <w:szCs w:val="18"/>
        </w:rPr>
        <w:t>lan area</w:t>
      </w:r>
      <w:r w:rsidRPr="008210FE">
        <w:rPr>
          <w:sz w:val="18"/>
          <w:szCs w:val="18"/>
        </w:rPr>
        <w:t xml:space="preserve"> is made up, like the rest of England, of statistical units c</w:t>
      </w:r>
      <w:r w:rsidR="005F50BC" w:rsidRPr="008210FE">
        <w:rPr>
          <w:sz w:val="18"/>
          <w:szCs w:val="18"/>
        </w:rPr>
        <w:t>alled Output Areas (OAs). The Plan area</w:t>
      </w:r>
      <w:r w:rsidRPr="008210FE">
        <w:rPr>
          <w:sz w:val="18"/>
          <w:szCs w:val="18"/>
        </w:rPr>
        <w:t xml:space="preserve"> equates to the following </w:t>
      </w:r>
      <w:r w:rsidR="00DC5DF5">
        <w:rPr>
          <w:sz w:val="18"/>
          <w:szCs w:val="18"/>
        </w:rPr>
        <w:t xml:space="preserve">three </w:t>
      </w:r>
      <w:r w:rsidRPr="008210FE">
        <w:rPr>
          <w:sz w:val="18"/>
          <w:szCs w:val="18"/>
        </w:rPr>
        <w:t xml:space="preserve">OAs, which have been used throughout as a </w:t>
      </w:r>
      <w:r w:rsidR="00591064" w:rsidRPr="008210FE">
        <w:rPr>
          <w:sz w:val="18"/>
          <w:szCs w:val="18"/>
        </w:rPr>
        <w:t>statistical proxy for the NA</w:t>
      </w:r>
      <w:r w:rsidRPr="008210FE">
        <w:rPr>
          <w:sz w:val="18"/>
          <w:szCs w:val="18"/>
        </w:rPr>
        <w:t xml:space="preserve"> boundary and which can be interrogated for data from both the 2001 and the 2011 Censuses:</w:t>
      </w:r>
    </w:p>
    <w:p w:rsidR="008210FE" w:rsidRPr="00DC5DF5" w:rsidRDefault="008210FE" w:rsidP="00DC5DF5">
      <w:pPr>
        <w:pStyle w:val="ListBullet"/>
        <w:spacing w:before="0" w:line="240" w:lineRule="atLeast"/>
        <w:jc w:val="both"/>
        <w:rPr>
          <w:sz w:val="18"/>
          <w:szCs w:val="18"/>
        </w:rPr>
      </w:pPr>
      <w:r w:rsidRPr="00DC5DF5">
        <w:rPr>
          <w:sz w:val="18"/>
          <w:szCs w:val="18"/>
        </w:rPr>
        <w:t>E0</w:t>
      </w:r>
      <w:r w:rsidR="00DC5DF5">
        <w:rPr>
          <w:sz w:val="18"/>
          <w:szCs w:val="18"/>
        </w:rPr>
        <w:t>0134856 (33UCHE0007)</w:t>
      </w:r>
    </w:p>
    <w:p w:rsidR="00DC5DF5" w:rsidRPr="00DC5DF5" w:rsidRDefault="00DC5DF5" w:rsidP="00DC5DF5">
      <w:pPr>
        <w:pStyle w:val="ListBullet"/>
        <w:rPr>
          <w:sz w:val="18"/>
          <w:szCs w:val="18"/>
        </w:rPr>
      </w:pPr>
      <w:r w:rsidRPr="00DC5DF5">
        <w:t>E0013485</w:t>
      </w:r>
      <w:r>
        <w:t>7 (</w:t>
      </w:r>
      <w:r w:rsidRPr="00DC5DF5">
        <w:rPr>
          <w:sz w:val="18"/>
          <w:szCs w:val="18"/>
        </w:rPr>
        <w:t>33UCHE000</w:t>
      </w:r>
      <w:r>
        <w:rPr>
          <w:sz w:val="18"/>
          <w:szCs w:val="18"/>
        </w:rPr>
        <w:t>8</w:t>
      </w:r>
      <w:r w:rsidRPr="00DC5DF5">
        <w:rPr>
          <w:sz w:val="18"/>
          <w:szCs w:val="18"/>
        </w:rPr>
        <w:t>)</w:t>
      </w:r>
    </w:p>
    <w:p w:rsidR="00DC5DF5" w:rsidRPr="00DC5DF5" w:rsidRDefault="00DC5DF5" w:rsidP="00DB4D40">
      <w:pPr>
        <w:pStyle w:val="ListBullet"/>
        <w:rPr>
          <w:sz w:val="18"/>
          <w:szCs w:val="18"/>
        </w:rPr>
      </w:pPr>
      <w:r w:rsidRPr="00DC5DF5">
        <w:rPr>
          <w:sz w:val="18"/>
          <w:szCs w:val="18"/>
        </w:rPr>
        <w:t>E00134858 (33UCHE0009)</w:t>
      </w:r>
    </w:p>
    <w:p w:rsidR="002C2D5C" w:rsidRPr="00747D45" w:rsidRDefault="002C2D5C" w:rsidP="002C2D5C">
      <w:pPr>
        <w:pStyle w:val="ListNumber"/>
        <w:spacing w:before="0"/>
        <w:jc w:val="both"/>
        <w:rPr>
          <w:sz w:val="18"/>
          <w:szCs w:val="18"/>
        </w:rPr>
      </w:pPr>
      <w:r w:rsidRPr="00747D45">
        <w:rPr>
          <w:sz w:val="18"/>
          <w:szCs w:val="18"/>
        </w:rPr>
        <w:t xml:space="preserve">The statistics show that in the 2011 Census </w:t>
      </w:r>
      <w:r w:rsidR="005F50BC">
        <w:rPr>
          <w:sz w:val="18"/>
          <w:szCs w:val="18"/>
        </w:rPr>
        <w:t xml:space="preserve">the </w:t>
      </w:r>
      <w:r w:rsidR="00450792">
        <w:rPr>
          <w:sz w:val="18"/>
          <w:szCs w:val="18"/>
        </w:rPr>
        <w:t xml:space="preserve">Neighbourhood </w:t>
      </w:r>
      <w:r w:rsidR="005F50BC">
        <w:rPr>
          <w:sz w:val="18"/>
          <w:szCs w:val="18"/>
        </w:rPr>
        <w:t>Plan area</w:t>
      </w:r>
      <w:r w:rsidRPr="00747D45">
        <w:rPr>
          <w:sz w:val="18"/>
          <w:szCs w:val="18"/>
        </w:rPr>
        <w:t xml:space="preserve"> had a total of </w:t>
      </w:r>
      <w:r w:rsidR="00750815">
        <w:rPr>
          <w:sz w:val="18"/>
          <w:szCs w:val="18"/>
        </w:rPr>
        <w:t>1,207</w:t>
      </w:r>
      <w:r w:rsidRPr="00747D45">
        <w:rPr>
          <w:sz w:val="18"/>
          <w:szCs w:val="18"/>
        </w:rPr>
        <w:t xml:space="preserve"> residents</w:t>
      </w:r>
      <w:bookmarkEnd w:id="35"/>
      <w:r w:rsidRPr="00747D45">
        <w:rPr>
          <w:sz w:val="18"/>
          <w:szCs w:val="18"/>
        </w:rPr>
        <w:t>.</w:t>
      </w:r>
    </w:p>
    <w:p w:rsidR="002C2D5C" w:rsidRPr="00747D45" w:rsidRDefault="002C2D5C" w:rsidP="002C2D5C">
      <w:pPr>
        <w:pStyle w:val="ListNumber"/>
        <w:spacing w:before="0"/>
        <w:jc w:val="both"/>
        <w:rPr>
          <w:sz w:val="18"/>
          <w:szCs w:val="18"/>
        </w:rPr>
      </w:pPr>
      <w:r w:rsidRPr="00747D45">
        <w:rPr>
          <w:sz w:val="18"/>
          <w:szCs w:val="18"/>
        </w:rPr>
        <w:t xml:space="preserve">A map of </w:t>
      </w:r>
      <w:r w:rsidR="005F50BC">
        <w:rPr>
          <w:sz w:val="18"/>
          <w:szCs w:val="18"/>
        </w:rPr>
        <w:t>the Plan area</w:t>
      </w:r>
      <w:r w:rsidRPr="00747D45">
        <w:rPr>
          <w:sz w:val="18"/>
          <w:szCs w:val="18"/>
        </w:rPr>
        <w:t xml:space="preserve"> appears below in Figure 2.1.</w:t>
      </w:r>
    </w:p>
    <w:p w:rsidR="002C2D5C" w:rsidRDefault="00364822" w:rsidP="002C2D5C">
      <w:pPr>
        <w:pStyle w:val="Caption"/>
        <w:tabs>
          <w:tab w:val="left" w:pos="284"/>
        </w:tabs>
        <w:spacing w:before="0" w:line="240" w:lineRule="atLeast"/>
        <w:jc w:val="both"/>
        <w:rPr>
          <w:rFonts w:eastAsiaTheme="minorHAnsi" w:cstheme="minorBidi"/>
          <w:kern w:val="18"/>
          <w:sz w:val="18"/>
          <w:szCs w:val="18"/>
          <w:lang w:eastAsia="en-US"/>
        </w:rPr>
      </w:pPr>
      <w:r>
        <w:rPr>
          <w:noProof/>
        </w:rPr>
        <w:drawing>
          <wp:anchor distT="0" distB="0" distL="114300" distR="114300" simplePos="0" relativeHeight="251664384" behindDoc="0" locked="0" layoutInCell="1" allowOverlap="1">
            <wp:simplePos x="0" y="0"/>
            <wp:positionH relativeFrom="margin">
              <wp:align>center</wp:align>
            </wp:positionH>
            <wp:positionV relativeFrom="paragraph">
              <wp:posOffset>284480</wp:posOffset>
            </wp:positionV>
            <wp:extent cx="5404485" cy="3371850"/>
            <wp:effectExtent l="0" t="0" r="5715" b="0"/>
            <wp:wrapThrough wrapText="bothSides">
              <wp:wrapPolygon edited="0">
                <wp:start x="0" y="0"/>
                <wp:lineTo x="0" y="21478"/>
                <wp:lineTo x="21547" y="21478"/>
                <wp:lineTo x="21547"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404485" cy="3371850"/>
                    </a:xfrm>
                    <a:prstGeom prst="rect">
                      <a:avLst/>
                    </a:prstGeom>
                  </pic:spPr>
                </pic:pic>
              </a:graphicData>
            </a:graphic>
          </wp:anchor>
        </w:drawing>
      </w:r>
      <w:r w:rsidR="002C2D5C" w:rsidRPr="0097507B">
        <w:rPr>
          <w:rFonts w:eastAsiaTheme="minorHAnsi" w:cstheme="minorBidi"/>
          <w:kern w:val="18"/>
          <w:sz w:val="18"/>
          <w:szCs w:val="18"/>
          <w:lang w:eastAsia="en-US"/>
        </w:rPr>
        <w:t xml:space="preserve">Figure </w:t>
      </w:r>
      <w:r w:rsidR="001A69AC" w:rsidRPr="0097507B">
        <w:rPr>
          <w:rFonts w:eastAsiaTheme="minorHAnsi" w:cstheme="minorBidi"/>
          <w:kern w:val="18"/>
          <w:sz w:val="18"/>
          <w:szCs w:val="18"/>
          <w:lang w:eastAsia="en-US"/>
        </w:rPr>
        <w:fldChar w:fldCharType="begin"/>
      </w:r>
      <w:r w:rsidR="002C2D5C" w:rsidRPr="0097507B">
        <w:rPr>
          <w:rFonts w:eastAsiaTheme="minorHAnsi" w:cstheme="minorBidi"/>
          <w:kern w:val="18"/>
          <w:sz w:val="18"/>
          <w:szCs w:val="18"/>
          <w:lang w:eastAsia="en-US"/>
        </w:rPr>
        <w:instrText xml:space="preserve"> STYLEREF 1 \s </w:instrText>
      </w:r>
      <w:r w:rsidR="001A69AC" w:rsidRPr="0097507B">
        <w:rPr>
          <w:rFonts w:eastAsiaTheme="minorHAnsi" w:cstheme="minorBidi"/>
          <w:kern w:val="18"/>
          <w:sz w:val="18"/>
          <w:szCs w:val="18"/>
          <w:lang w:eastAsia="en-US"/>
        </w:rPr>
        <w:fldChar w:fldCharType="separate"/>
      </w:r>
      <w:r w:rsidR="00E14AFB">
        <w:rPr>
          <w:rFonts w:eastAsiaTheme="minorHAnsi" w:cstheme="minorBidi"/>
          <w:noProof/>
          <w:kern w:val="18"/>
          <w:sz w:val="18"/>
          <w:szCs w:val="18"/>
          <w:lang w:eastAsia="en-US"/>
        </w:rPr>
        <w:t>2</w:t>
      </w:r>
      <w:r w:rsidR="001A69AC" w:rsidRPr="0097507B">
        <w:rPr>
          <w:rFonts w:eastAsiaTheme="minorHAnsi" w:cstheme="minorBidi"/>
          <w:kern w:val="18"/>
          <w:sz w:val="18"/>
          <w:szCs w:val="18"/>
          <w:lang w:eastAsia="en-US"/>
        </w:rPr>
        <w:fldChar w:fldCharType="end"/>
      </w:r>
      <w:r w:rsidR="002C2D5C" w:rsidRPr="0097507B">
        <w:rPr>
          <w:rFonts w:eastAsiaTheme="minorHAnsi" w:cstheme="minorBidi"/>
          <w:kern w:val="18"/>
          <w:sz w:val="18"/>
          <w:szCs w:val="18"/>
          <w:lang w:eastAsia="en-US"/>
        </w:rPr>
        <w:noBreakHyphen/>
      </w:r>
      <w:r w:rsidR="001A69AC" w:rsidRPr="0097507B">
        <w:rPr>
          <w:rFonts w:eastAsiaTheme="minorHAnsi" w:cstheme="minorBidi"/>
          <w:kern w:val="18"/>
          <w:sz w:val="18"/>
          <w:szCs w:val="18"/>
          <w:lang w:eastAsia="en-US"/>
        </w:rPr>
        <w:fldChar w:fldCharType="begin"/>
      </w:r>
      <w:r w:rsidR="002C2D5C" w:rsidRPr="0097507B">
        <w:rPr>
          <w:rFonts w:eastAsiaTheme="minorHAnsi" w:cstheme="minorBidi"/>
          <w:kern w:val="18"/>
          <w:sz w:val="18"/>
          <w:szCs w:val="18"/>
          <w:lang w:eastAsia="en-US"/>
        </w:rPr>
        <w:instrText xml:space="preserve"> SEQ Figure \* ARABIC \s 1 </w:instrText>
      </w:r>
      <w:r w:rsidR="001A69AC" w:rsidRPr="0097507B">
        <w:rPr>
          <w:rFonts w:eastAsiaTheme="minorHAnsi" w:cstheme="minorBidi"/>
          <w:kern w:val="18"/>
          <w:sz w:val="18"/>
          <w:szCs w:val="18"/>
          <w:lang w:eastAsia="en-US"/>
        </w:rPr>
        <w:fldChar w:fldCharType="separate"/>
      </w:r>
      <w:r w:rsidR="00E14AFB">
        <w:rPr>
          <w:rFonts w:eastAsiaTheme="minorHAnsi" w:cstheme="minorBidi"/>
          <w:noProof/>
          <w:kern w:val="18"/>
          <w:sz w:val="18"/>
          <w:szCs w:val="18"/>
          <w:lang w:eastAsia="en-US"/>
        </w:rPr>
        <w:t>1</w:t>
      </w:r>
      <w:r w:rsidR="001A69AC" w:rsidRPr="0097507B">
        <w:rPr>
          <w:rFonts w:eastAsiaTheme="minorHAnsi" w:cstheme="minorBidi"/>
          <w:kern w:val="18"/>
          <w:sz w:val="18"/>
          <w:szCs w:val="18"/>
          <w:lang w:eastAsia="en-US"/>
        </w:rPr>
        <w:fldChar w:fldCharType="end"/>
      </w:r>
      <w:r w:rsidR="002C2D5C" w:rsidRPr="0097507B">
        <w:rPr>
          <w:rFonts w:eastAsiaTheme="minorHAnsi" w:cstheme="minorBidi"/>
          <w:kern w:val="18"/>
          <w:sz w:val="18"/>
          <w:szCs w:val="18"/>
          <w:lang w:eastAsia="en-US"/>
        </w:rPr>
        <w:t xml:space="preserve">: Map of the </w:t>
      </w:r>
      <w:r>
        <w:rPr>
          <w:rFonts w:eastAsiaTheme="minorHAnsi" w:cstheme="minorBidi"/>
          <w:kern w:val="18"/>
          <w:sz w:val="18"/>
          <w:szCs w:val="18"/>
          <w:lang w:eastAsia="en-US"/>
        </w:rPr>
        <w:t>Reedham</w:t>
      </w:r>
      <w:r w:rsidR="00C71DC6">
        <w:rPr>
          <w:rFonts w:eastAsiaTheme="minorHAnsi" w:cstheme="minorBidi"/>
          <w:kern w:val="18"/>
          <w:sz w:val="18"/>
          <w:szCs w:val="18"/>
          <w:lang w:eastAsia="en-US"/>
        </w:rPr>
        <w:t xml:space="preserve"> </w:t>
      </w:r>
      <w:r w:rsidR="00E160BD">
        <w:rPr>
          <w:rFonts w:eastAsiaTheme="minorHAnsi" w:cstheme="minorBidi"/>
          <w:kern w:val="18"/>
          <w:sz w:val="18"/>
          <w:szCs w:val="18"/>
          <w:lang w:eastAsia="en-US"/>
        </w:rPr>
        <w:t>Neighbourhood Plan a</w:t>
      </w:r>
      <w:r w:rsidR="00C71DC6">
        <w:rPr>
          <w:rFonts w:eastAsiaTheme="minorHAnsi" w:cstheme="minorBidi"/>
          <w:kern w:val="18"/>
          <w:sz w:val="18"/>
          <w:szCs w:val="18"/>
          <w:lang w:eastAsia="en-US"/>
        </w:rPr>
        <w:t>rea</w:t>
      </w:r>
      <w:r w:rsidR="00C71DC6">
        <w:rPr>
          <w:rStyle w:val="FootnoteReference"/>
          <w:rFonts w:eastAsiaTheme="minorHAnsi" w:cstheme="minorBidi"/>
          <w:kern w:val="18"/>
          <w:sz w:val="18"/>
          <w:szCs w:val="18"/>
          <w:lang w:eastAsia="en-US"/>
        </w:rPr>
        <w:footnoteReference w:id="1"/>
      </w:r>
    </w:p>
    <w:p w:rsidR="00364822" w:rsidRDefault="00364822" w:rsidP="004B77D6">
      <w:pPr>
        <w:pStyle w:val="BodyText"/>
        <w:rPr>
          <w:rFonts w:eastAsiaTheme="minorHAnsi"/>
          <w:i/>
          <w:sz w:val="18"/>
          <w:szCs w:val="18"/>
          <w:lang w:eastAsia="en-US"/>
        </w:rPr>
      </w:pPr>
    </w:p>
    <w:p w:rsidR="00364822" w:rsidRDefault="00364822" w:rsidP="004B77D6">
      <w:pPr>
        <w:pStyle w:val="BodyText"/>
        <w:rPr>
          <w:rFonts w:eastAsiaTheme="minorHAnsi"/>
          <w:i/>
          <w:sz w:val="18"/>
          <w:szCs w:val="18"/>
          <w:lang w:eastAsia="en-US"/>
        </w:rPr>
      </w:pPr>
    </w:p>
    <w:p w:rsidR="00364822" w:rsidRDefault="00364822" w:rsidP="004B77D6">
      <w:pPr>
        <w:pStyle w:val="BodyText"/>
        <w:rPr>
          <w:rFonts w:eastAsiaTheme="minorHAnsi"/>
          <w:i/>
          <w:sz w:val="18"/>
          <w:szCs w:val="18"/>
          <w:lang w:eastAsia="en-US"/>
        </w:rPr>
      </w:pPr>
    </w:p>
    <w:p w:rsidR="00364822" w:rsidRDefault="00364822" w:rsidP="004B77D6">
      <w:pPr>
        <w:pStyle w:val="BodyText"/>
        <w:rPr>
          <w:rFonts w:eastAsiaTheme="minorHAnsi"/>
          <w:i/>
          <w:sz w:val="18"/>
          <w:szCs w:val="18"/>
          <w:lang w:eastAsia="en-US"/>
        </w:rPr>
      </w:pPr>
    </w:p>
    <w:p w:rsidR="00364822" w:rsidRDefault="00364822" w:rsidP="004B77D6">
      <w:pPr>
        <w:pStyle w:val="BodyText"/>
        <w:rPr>
          <w:rFonts w:eastAsiaTheme="minorHAnsi"/>
          <w:i/>
          <w:sz w:val="18"/>
          <w:szCs w:val="18"/>
          <w:lang w:eastAsia="en-US"/>
        </w:rPr>
      </w:pPr>
    </w:p>
    <w:p w:rsidR="00364822" w:rsidRDefault="00364822" w:rsidP="004B77D6">
      <w:pPr>
        <w:pStyle w:val="BodyText"/>
        <w:rPr>
          <w:rFonts w:eastAsiaTheme="minorHAnsi"/>
          <w:i/>
          <w:sz w:val="18"/>
          <w:szCs w:val="18"/>
          <w:lang w:eastAsia="en-US"/>
        </w:rPr>
      </w:pPr>
    </w:p>
    <w:p w:rsidR="00364822" w:rsidRDefault="00364822" w:rsidP="004B77D6">
      <w:pPr>
        <w:pStyle w:val="BodyText"/>
        <w:rPr>
          <w:rFonts w:eastAsiaTheme="minorHAnsi"/>
          <w:i/>
          <w:sz w:val="18"/>
          <w:szCs w:val="18"/>
          <w:lang w:eastAsia="en-US"/>
        </w:rPr>
      </w:pPr>
    </w:p>
    <w:p w:rsidR="00364822" w:rsidRDefault="00364822" w:rsidP="004B77D6">
      <w:pPr>
        <w:pStyle w:val="BodyText"/>
        <w:rPr>
          <w:rFonts w:eastAsiaTheme="minorHAnsi"/>
          <w:i/>
          <w:sz w:val="18"/>
          <w:szCs w:val="18"/>
          <w:lang w:eastAsia="en-US"/>
        </w:rPr>
      </w:pPr>
    </w:p>
    <w:p w:rsidR="00364822" w:rsidRDefault="00364822" w:rsidP="004B77D6">
      <w:pPr>
        <w:pStyle w:val="BodyText"/>
        <w:rPr>
          <w:rFonts w:eastAsiaTheme="minorHAnsi"/>
          <w:i/>
          <w:sz w:val="18"/>
          <w:szCs w:val="18"/>
          <w:lang w:eastAsia="en-US"/>
        </w:rPr>
      </w:pPr>
    </w:p>
    <w:p w:rsidR="00364822" w:rsidRDefault="00364822" w:rsidP="004B77D6">
      <w:pPr>
        <w:pStyle w:val="BodyText"/>
        <w:rPr>
          <w:rFonts w:eastAsiaTheme="minorHAnsi"/>
          <w:i/>
          <w:sz w:val="18"/>
          <w:szCs w:val="18"/>
          <w:lang w:eastAsia="en-US"/>
        </w:rPr>
      </w:pPr>
    </w:p>
    <w:p w:rsidR="00364822" w:rsidRDefault="00364822" w:rsidP="004B77D6">
      <w:pPr>
        <w:pStyle w:val="BodyText"/>
        <w:rPr>
          <w:rFonts w:eastAsiaTheme="minorHAnsi"/>
          <w:i/>
          <w:sz w:val="18"/>
          <w:szCs w:val="18"/>
          <w:lang w:eastAsia="en-US"/>
        </w:rPr>
      </w:pPr>
    </w:p>
    <w:p w:rsidR="00364822" w:rsidRDefault="00364822" w:rsidP="004B77D6">
      <w:pPr>
        <w:pStyle w:val="BodyText"/>
        <w:rPr>
          <w:rFonts w:eastAsiaTheme="minorHAnsi"/>
          <w:i/>
          <w:sz w:val="18"/>
          <w:szCs w:val="18"/>
          <w:lang w:eastAsia="en-US"/>
        </w:rPr>
      </w:pPr>
    </w:p>
    <w:p w:rsidR="004B77D6" w:rsidRPr="004B77D6" w:rsidRDefault="004B77D6" w:rsidP="004B77D6">
      <w:pPr>
        <w:pStyle w:val="BodyText"/>
        <w:rPr>
          <w:rFonts w:eastAsiaTheme="minorHAnsi"/>
          <w:i/>
          <w:sz w:val="18"/>
          <w:szCs w:val="18"/>
          <w:lang w:eastAsia="en-US"/>
        </w:rPr>
      </w:pPr>
      <w:r w:rsidRPr="004B77D6">
        <w:rPr>
          <w:rFonts w:eastAsiaTheme="minorHAnsi"/>
          <w:i/>
          <w:sz w:val="18"/>
          <w:szCs w:val="18"/>
          <w:lang w:eastAsia="en-US"/>
        </w:rPr>
        <w:t xml:space="preserve">Source: </w:t>
      </w:r>
      <w:r w:rsidR="00364822">
        <w:rPr>
          <w:rFonts w:eastAsiaTheme="minorHAnsi"/>
          <w:i/>
          <w:sz w:val="18"/>
          <w:szCs w:val="18"/>
          <w:lang w:eastAsia="en-US"/>
        </w:rPr>
        <w:t xml:space="preserve">Broadland District Council </w:t>
      </w:r>
    </w:p>
    <w:p w:rsidR="002C2D5C" w:rsidRPr="0042428A" w:rsidRDefault="003727A8" w:rsidP="0042428A">
      <w:pPr>
        <w:pStyle w:val="ListNumber"/>
        <w:rPr>
          <w:sz w:val="18"/>
        </w:rPr>
      </w:pPr>
      <w:bookmarkStart w:id="36" w:name="_Hlk19634230"/>
      <w:r w:rsidRPr="004650F4">
        <w:rPr>
          <w:sz w:val="18"/>
          <w:szCs w:val="18"/>
        </w:rPr>
        <w:lastRenderedPageBreak/>
        <w:t xml:space="preserve">The neighbourhood planners are interested in exploring the need for Affordable Housing for sale and are therefore eligible for support under </w:t>
      </w:r>
      <w:r w:rsidR="00914584" w:rsidRPr="004650F4">
        <w:rPr>
          <w:sz w:val="18"/>
          <w:szCs w:val="18"/>
        </w:rPr>
        <w:t xml:space="preserve">the </w:t>
      </w:r>
      <w:r w:rsidR="00444877" w:rsidRPr="004650F4">
        <w:rPr>
          <w:sz w:val="18"/>
          <w:szCs w:val="18"/>
        </w:rPr>
        <w:t>A</w:t>
      </w:r>
      <w:r w:rsidR="00914584" w:rsidRPr="004650F4">
        <w:rPr>
          <w:sz w:val="18"/>
          <w:szCs w:val="18"/>
        </w:rPr>
        <w:t xml:space="preserve">ffordable </w:t>
      </w:r>
      <w:r w:rsidR="00444877" w:rsidRPr="004650F4">
        <w:rPr>
          <w:sz w:val="18"/>
          <w:szCs w:val="18"/>
        </w:rPr>
        <w:t>H</w:t>
      </w:r>
      <w:r w:rsidR="00914584" w:rsidRPr="004650F4">
        <w:rPr>
          <w:sz w:val="18"/>
          <w:szCs w:val="18"/>
        </w:rPr>
        <w:t>ousing for sale</w:t>
      </w:r>
      <w:r w:rsidRPr="004650F4">
        <w:rPr>
          <w:sz w:val="18"/>
          <w:szCs w:val="18"/>
        </w:rPr>
        <w:t xml:space="preserve"> element of the </w:t>
      </w:r>
      <w:r w:rsidR="007F5B16" w:rsidRPr="004650F4">
        <w:rPr>
          <w:sz w:val="18"/>
          <w:szCs w:val="18"/>
        </w:rPr>
        <w:t xml:space="preserve">Neighbourhood Planning Technical Support </w:t>
      </w:r>
      <w:r w:rsidRPr="004650F4">
        <w:rPr>
          <w:sz w:val="18"/>
          <w:szCs w:val="18"/>
        </w:rPr>
        <w:t xml:space="preserve">programme. </w:t>
      </w:r>
      <w:r w:rsidR="003D6072" w:rsidRPr="004650F4">
        <w:rPr>
          <w:sz w:val="18"/>
          <w:szCs w:val="18"/>
        </w:rPr>
        <w:t>Analysis and commentary on this issue has been provided where relevant and possible</w:t>
      </w:r>
      <w:r w:rsidRPr="004650F4">
        <w:rPr>
          <w:sz w:val="18"/>
          <w:szCs w:val="18"/>
        </w:rPr>
        <w:t xml:space="preserve"> in the HNA.</w:t>
      </w:r>
      <w:bookmarkEnd w:id="36"/>
    </w:p>
    <w:p w:rsidR="002C2D5C" w:rsidRPr="00557859" w:rsidRDefault="002C2D5C" w:rsidP="002C2D5C">
      <w:pPr>
        <w:pStyle w:val="Heading2"/>
        <w:jc w:val="both"/>
      </w:pPr>
      <w:bookmarkStart w:id="37" w:name="_Toc33015834"/>
      <w:r w:rsidRPr="00557859">
        <w:t>Planning policy context</w:t>
      </w:r>
      <w:bookmarkEnd w:id="37"/>
    </w:p>
    <w:p w:rsidR="002C2D5C" w:rsidRDefault="00F91738" w:rsidP="002C2D5C">
      <w:pPr>
        <w:pStyle w:val="ListNumber"/>
        <w:widowControl w:val="0"/>
        <w:jc w:val="both"/>
        <w:rPr>
          <w:rFonts w:eastAsiaTheme="minorHAnsi"/>
          <w:sz w:val="18"/>
          <w:szCs w:val="18"/>
          <w:lang w:eastAsia="en-US"/>
        </w:rPr>
      </w:pPr>
      <w:r>
        <w:rPr>
          <w:rFonts w:eastAsiaTheme="minorHAnsi"/>
          <w:sz w:val="18"/>
          <w:szCs w:val="18"/>
          <w:lang w:eastAsia="en-US"/>
        </w:rPr>
        <w:t>In line with the Basic C</w:t>
      </w:r>
      <w:r w:rsidR="002C2D5C" w:rsidRPr="00747D45">
        <w:rPr>
          <w:rFonts w:eastAsiaTheme="minorHAnsi"/>
          <w:sz w:val="18"/>
          <w:szCs w:val="18"/>
          <w:lang w:eastAsia="en-US"/>
        </w:rPr>
        <w:t>onditions</w:t>
      </w:r>
      <w:r>
        <w:rPr>
          <w:rStyle w:val="FootnoteReference"/>
          <w:rFonts w:eastAsiaTheme="minorHAnsi"/>
          <w:sz w:val="18"/>
          <w:szCs w:val="18"/>
          <w:lang w:eastAsia="en-US"/>
        </w:rPr>
        <w:footnoteReference w:id="2"/>
      </w:r>
      <w:r w:rsidR="002C2D5C" w:rsidRPr="00747D45">
        <w:rPr>
          <w:rFonts w:eastAsiaTheme="minorHAnsi"/>
          <w:sz w:val="18"/>
          <w:szCs w:val="18"/>
          <w:lang w:eastAsia="en-US"/>
        </w:rPr>
        <w:t xml:space="preserve"> of neighbourhood planning, Neighbourhood Development Plans (NDPs) are required to be in general conformity with adopted strategic local policies.</w:t>
      </w:r>
      <w:r w:rsidR="00CD1EBD">
        <w:rPr>
          <w:rStyle w:val="FootnoteReference"/>
          <w:rFonts w:eastAsiaTheme="minorHAnsi"/>
          <w:sz w:val="18"/>
          <w:szCs w:val="18"/>
          <w:lang w:eastAsia="en-US"/>
        </w:rPr>
        <w:footnoteReference w:id="3"/>
      </w:r>
      <w:r w:rsidR="002C2D5C" w:rsidRPr="00747D45">
        <w:rPr>
          <w:rFonts w:eastAsiaTheme="minorHAnsi"/>
          <w:sz w:val="18"/>
          <w:szCs w:val="18"/>
          <w:lang w:eastAsia="en-US"/>
        </w:rPr>
        <w:t xml:space="preserve"> Consequently, the relevant elements of the Local Plan </w:t>
      </w:r>
      <w:r w:rsidR="00A30438">
        <w:rPr>
          <w:rFonts w:eastAsiaTheme="minorHAnsi"/>
          <w:sz w:val="18"/>
          <w:szCs w:val="18"/>
          <w:lang w:eastAsia="en-US"/>
        </w:rPr>
        <w:t>are</w:t>
      </w:r>
      <w:r w:rsidR="002C2D5C" w:rsidRPr="00747D45">
        <w:rPr>
          <w:rFonts w:eastAsiaTheme="minorHAnsi"/>
          <w:sz w:val="18"/>
          <w:szCs w:val="18"/>
          <w:lang w:eastAsia="en-US"/>
        </w:rPr>
        <w:t xml:space="preserve"> reviewed as part of this Housing Needs Assessment (HNA).</w:t>
      </w:r>
    </w:p>
    <w:p w:rsidR="002C2D5C" w:rsidRPr="00747D45" w:rsidRDefault="002C2D5C" w:rsidP="002C2D5C">
      <w:pPr>
        <w:pStyle w:val="ListNumber"/>
        <w:widowControl w:val="0"/>
        <w:jc w:val="both"/>
        <w:rPr>
          <w:rFonts w:eastAsiaTheme="minorHAnsi"/>
          <w:sz w:val="18"/>
          <w:szCs w:val="18"/>
          <w:lang w:eastAsia="en-US"/>
        </w:rPr>
      </w:pPr>
      <w:r w:rsidRPr="00747D45">
        <w:rPr>
          <w:rFonts w:eastAsiaTheme="minorHAnsi"/>
          <w:sz w:val="18"/>
          <w:szCs w:val="18"/>
          <w:lang w:eastAsia="en-US"/>
        </w:rPr>
        <w:t xml:space="preserve">In the case of </w:t>
      </w:r>
      <w:r w:rsidR="007C1251">
        <w:rPr>
          <w:rFonts w:eastAsiaTheme="minorHAnsi"/>
          <w:sz w:val="18"/>
          <w:szCs w:val="18"/>
          <w:lang w:eastAsia="en-US"/>
        </w:rPr>
        <w:t>Reedh</w:t>
      </w:r>
      <w:r w:rsidR="00356488">
        <w:rPr>
          <w:rFonts w:eastAsiaTheme="minorHAnsi"/>
          <w:sz w:val="18"/>
          <w:szCs w:val="18"/>
          <w:lang w:eastAsia="en-US"/>
        </w:rPr>
        <w:t>am</w:t>
      </w:r>
      <w:r w:rsidRPr="00747D45">
        <w:rPr>
          <w:rFonts w:eastAsiaTheme="minorHAnsi"/>
          <w:sz w:val="18"/>
          <w:szCs w:val="18"/>
          <w:lang w:eastAsia="en-US"/>
        </w:rPr>
        <w:t>, the relevant local planning context is as follows:</w:t>
      </w:r>
    </w:p>
    <w:p w:rsidR="002C2D5C" w:rsidRPr="00356488" w:rsidRDefault="00356488" w:rsidP="00356488">
      <w:pPr>
        <w:pStyle w:val="ListBullet"/>
      </w:pPr>
      <w:r w:rsidRPr="00356488">
        <w:rPr>
          <w:sz w:val="18"/>
          <w:szCs w:val="18"/>
        </w:rPr>
        <w:t>Joint Core Strategy DP</w:t>
      </w:r>
      <w:r w:rsidR="00F337A0">
        <w:rPr>
          <w:sz w:val="18"/>
          <w:szCs w:val="18"/>
        </w:rPr>
        <w:t>D</w:t>
      </w:r>
      <w:r w:rsidRPr="00356488">
        <w:rPr>
          <w:sz w:val="18"/>
          <w:szCs w:val="18"/>
        </w:rPr>
        <w:t xml:space="preserve"> (Broadland, Norwich and South Norfolk) adopted 2011, amendments adopted January 2014</w:t>
      </w:r>
      <w:r w:rsidR="00C71DC6">
        <w:rPr>
          <w:rStyle w:val="FootnoteReference"/>
          <w:sz w:val="18"/>
          <w:szCs w:val="18"/>
        </w:rPr>
        <w:footnoteReference w:id="4"/>
      </w:r>
    </w:p>
    <w:p w:rsidR="002C2D5C" w:rsidRPr="00356488" w:rsidRDefault="00356488" w:rsidP="00356488">
      <w:pPr>
        <w:pStyle w:val="ListBullet"/>
      </w:pPr>
      <w:r>
        <w:rPr>
          <w:sz w:val="18"/>
          <w:szCs w:val="18"/>
        </w:rPr>
        <w:t>Development Management DPD</w:t>
      </w:r>
      <w:r w:rsidR="00A44768">
        <w:rPr>
          <w:sz w:val="18"/>
          <w:szCs w:val="18"/>
        </w:rPr>
        <w:t xml:space="preserve"> (2015)</w:t>
      </w:r>
      <w:r w:rsidR="00C71DC6">
        <w:rPr>
          <w:rStyle w:val="FootnoteReference"/>
          <w:sz w:val="18"/>
          <w:szCs w:val="18"/>
        </w:rPr>
        <w:footnoteReference w:id="5"/>
      </w:r>
    </w:p>
    <w:p w:rsidR="00356488" w:rsidRPr="00356488" w:rsidRDefault="00356488" w:rsidP="00356488">
      <w:pPr>
        <w:pStyle w:val="ListBullet"/>
      </w:pPr>
      <w:r>
        <w:rPr>
          <w:sz w:val="18"/>
          <w:szCs w:val="18"/>
        </w:rPr>
        <w:t>Site Allocations DPD</w:t>
      </w:r>
      <w:r w:rsidR="00B20965">
        <w:rPr>
          <w:sz w:val="18"/>
          <w:szCs w:val="18"/>
        </w:rPr>
        <w:t xml:space="preserve"> (May 2016)</w:t>
      </w:r>
      <w:r>
        <w:rPr>
          <w:rStyle w:val="FootnoteReference"/>
          <w:sz w:val="18"/>
          <w:szCs w:val="18"/>
        </w:rPr>
        <w:footnoteReference w:id="6"/>
      </w:r>
    </w:p>
    <w:p w:rsidR="00356488" w:rsidRPr="00356488" w:rsidRDefault="00356488" w:rsidP="00356488">
      <w:pPr>
        <w:pStyle w:val="ListBullet"/>
      </w:pPr>
      <w:r>
        <w:rPr>
          <w:sz w:val="18"/>
          <w:szCs w:val="18"/>
        </w:rPr>
        <w:t>Growth Triangle Area Action Plan</w:t>
      </w:r>
      <w:r>
        <w:rPr>
          <w:rStyle w:val="FootnoteReference"/>
          <w:sz w:val="18"/>
          <w:szCs w:val="18"/>
        </w:rPr>
        <w:footnoteReference w:id="7"/>
      </w:r>
    </w:p>
    <w:p w:rsidR="00116816" w:rsidRPr="00116816" w:rsidRDefault="00356488" w:rsidP="00116816">
      <w:pPr>
        <w:pStyle w:val="ListBullet"/>
      </w:pPr>
      <w:r>
        <w:rPr>
          <w:sz w:val="18"/>
          <w:szCs w:val="18"/>
        </w:rPr>
        <w:t>Neighbourhood Plan</w:t>
      </w:r>
      <w:r>
        <w:rPr>
          <w:rStyle w:val="FootnoteReference"/>
          <w:sz w:val="18"/>
          <w:szCs w:val="18"/>
        </w:rPr>
        <w:footnoteReference w:id="8"/>
      </w:r>
    </w:p>
    <w:p w:rsidR="00116816" w:rsidRPr="009D2AE6" w:rsidRDefault="007F0C1B" w:rsidP="00116816">
      <w:pPr>
        <w:pStyle w:val="ListNumber"/>
        <w:widowControl w:val="0"/>
        <w:jc w:val="both"/>
        <w:rPr>
          <w:rFonts w:eastAsiaTheme="minorHAnsi"/>
          <w:sz w:val="18"/>
          <w:szCs w:val="18"/>
          <w:lang w:eastAsia="en-US"/>
        </w:rPr>
      </w:pPr>
      <w:r>
        <w:rPr>
          <w:rFonts w:eastAsiaTheme="minorHAnsi"/>
          <w:sz w:val="18"/>
          <w:szCs w:val="18"/>
          <w:lang w:eastAsia="en-US"/>
        </w:rPr>
        <w:t>In addition, Broadland District Council, Norwich City Council and South Norfolk Council are working together with Norfolk County Council to prepare the Greater Norwich Local Plan (GNLP).</w:t>
      </w:r>
      <w:r w:rsidR="001C282B">
        <w:rPr>
          <w:rFonts w:eastAsiaTheme="minorHAnsi"/>
          <w:sz w:val="18"/>
          <w:szCs w:val="18"/>
          <w:lang w:eastAsia="en-US"/>
        </w:rPr>
        <w:t xml:space="preserve"> The Greater Norwich Local Plan will build on the long-established joint working arrangements for Greater Norwich, which have delivered the current Joint Core Strategy (JCS) for the area.</w:t>
      </w:r>
      <w:r w:rsidR="00300C4D">
        <w:rPr>
          <w:rFonts w:eastAsiaTheme="minorHAnsi"/>
          <w:sz w:val="18"/>
          <w:szCs w:val="18"/>
          <w:lang w:eastAsia="en-US"/>
        </w:rPr>
        <w:t xml:space="preserve"> </w:t>
      </w:r>
      <w:r w:rsidR="0085686E">
        <w:rPr>
          <w:rFonts w:eastAsiaTheme="minorHAnsi"/>
          <w:sz w:val="18"/>
          <w:szCs w:val="18"/>
          <w:lang w:eastAsia="en-US"/>
        </w:rPr>
        <w:t xml:space="preserve">Greater Norwich have </w:t>
      </w:r>
      <w:r w:rsidR="00C044A3">
        <w:rPr>
          <w:rFonts w:eastAsiaTheme="minorHAnsi"/>
          <w:sz w:val="18"/>
          <w:szCs w:val="18"/>
          <w:lang w:eastAsia="en-US"/>
        </w:rPr>
        <w:t xml:space="preserve">released a draft version of the </w:t>
      </w:r>
      <w:r w:rsidR="0085686E">
        <w:rPr>
          <w:rFonts w:eastAsiaTheme="minorHAnsi"/>
          <w:sz w:val="18"/>
          <w:szCs w:val="18"/>
          <w:lang w:eastAsia="en-US"/>
        </w:rPr>
        <w:t>Local Plan</w:t>
      </w:r>
      <w:r w:rsidR="00C044A3">
        <w:rPr>
          <w:rFonts w:eastAsiaTheme="minorHAnsi"/>
          <w:sz w:val="18"/>
          <w:szCs w:val="18"/>
          <w:lang w:eastAsia="en-US"/>
        </w:rPr>
        <w:t xml:space="preserve">, along with other relevant documents which </w:t>
      </w:r>
      <w:r w:rsidR="0085686E">
        <w:rPr>
          <w:rFonts w:eastAsiaTheme="minorHAnsi"/>
          <w:sz w:val="18"/>
          <w:szCs w:val="18"/>
          <w:lang w:eastAsia="en-US"/>
        </w:rPr>
        <w:t>are detailed below</w:t>
      </w:r>
      <w:r w:rsidR="0085686E">
        <w:rPr>
          <w:rStyle w:val="FootnoteReference"/>
          <w:rFonts w:eastAsiaTheme="minorHAnsi"/>
          <w:sz w:val="18"/>
          <w:szCs w:val="18"/>
          <w:lang w:eastAsia="en-US"/>
        </w:rPr>
        <w:footnoteReference w:id="9"/>
      </w:r>
      <w:r w:rsidR="0085686E">
        <w:rPr>
          <w:rFonts w:eastAsiaTheme="minorHAnsi"/>
          <w:sz w:val="18"/>
          <w:szCs w:val="18"/>
          <w:lang w:eastAsia="en-US"/>
        </w:rPr>
        <w:t>.</w:t>
      </w:r>
    </w:p>
    <w:p w:rsidR="002C2D5C" w:rsidRPr="00BC20E6" w:rsidRDefault="002C2D5C" w:rsidP="002C2D5C">
      <w:pPr>
        <w:pStyle w:val="Heading3"/>
        <w:jc w:val="both"/>
      </w:pPr>
      <w:bookmarkStart w:id="38" w:name="_Toc33015835"/>
      <w:r w:rsidRPr="00BC20E6">
        <w:t xml:space="preserve">Policies in the </w:t>
      </w:r>
      <w:r w:rsidR="00FD60AE">
        <w:t>Joint Core Strategy DPD</w:t>
      </w:r>
      <w:r w:rsidR="003B175A">
        <w:rPr>
          <w:rStyle w:val="FootnoteReference"/>
        </w:rPr>
        <w:footnoteReference w:id="10"/>
      </w:r>
      <w:bookmarkEnd w:id="38"/>
    </w:p>
    <w:p w:rsidR="002C2D5C" w:rsidRPr="00E64956" w:rsidRDefault="002C2D5C" w:rsidP="002C2D5C">
      <w:pPr>
        <w:pStyle w:val="Caption"/>
        <w:tabs>
          <w:tab w:val="left" w:pos="284"/>
        </w:tabs>
        <w:spacing w:before="0" w:line="240" w:lineRule="atLeast"/>
        <w:jc w:val="both"/>
        <w:rPr>
          <w:rFonts w:eastAsiaTheme="minorHAnsi" w:cstheme="minorBidi"/>
          <w:kern w:val="18"/>
          <w:sz w:val="18"/>
          <w:szCs w:val="18"/>
          <w:lang w:eastAsia="en-US"/>
        </w:rPr>
      </w:pPr>
      <w:r w:rsidRPr="00E64956">
        <w:rPr>
          <w:rFonts w:eastAsiaTheme="minorHAnsi" w:cstheme="minorBidi"/>
          <w:kern w:val="18"/>
          <w:sz w:val="18"/>
          <w:szCs w:val="18"/>
          <w:lang w:eastAsia="en-US"/>
        </w:rPr>
        <w:t xml:space="preserve">Table </w:t>
      </w:r>
      <w:r w:rsidR="001A69AC" w:rsidRPr="00E64956">
        <w:rPr>
          <w:rFonts w:eastAsiaTheme="minorHAnsi" w:cstheme="minorBidi"/>
          <w:kern w:val="18"/>
          <w:sz w:val="18"/>
          <w:szCs w:val="18"/>
          <w:lang w:eastAsia="en-US"/>
        </w:rPr>
        <w:fldChar w:fldCharType="begin"/>
      </w:r>
      <w:r w:rsidRPr="00E64956">
        <w:rPr>
          <w:rFonts w:eastAsiaTheme="minorHAnsi" w:cstheme="minorBidi"/>
          <w:kern w:val="18"/>
          <w:sz w:val="18"/>
          <w:szCs w:val="18"/>
          <w:lang w:eastAsia="en-US"/>
        </w:rPr>
        <w:instrText xml:space="preserve"> STYLEREF 1 \s </w:instrText>
      </w:r>
      <w:r w:rsidR="001A69AC" w:rsidRPr="00E64956">
        <w:rPr>
          <w:rFonts w:eastAsiaTheme="minorHAnsi" w:cstheme="minorBidi"/>
          <w:kern w:val="18"/>
          <w:sz w:val="18"/>
          <w:szCs w:val="18"/>
          <w:lang w:eastAsia="en-US"/>
        </w:rPr>
        <w:fldChar w:fldCharType="separate"/>
      </w:r>
      <w:r w:rsidR="00E14AFB">
        <w:rPr>
          <w:rFonts w:eastAsiaTheme="minorHAnsi" w:cstheme="minorBidi"/>
          <w:noProof/>
          <w:kern w:val="18"/>
          <w:sz w:val="18"/>
          <w:szCs w:val="18"/>
          <w:lang w:eastAsia="en-US"/>
        </w:rPr>
        <w:t>2</w:t>
      </w:r>
      <w:r w:rsidR="001A69AC" w:rsidRPr="00E64956">
        <w:rPr>
          <w:rFonts w:eastAsiaTheme="minorHAnsi" w:cstheme="minorBidi"/>
          <w:kern w:val="18"/>
          <w:sz w:val="18"/>
          <w:szCs w:val="18"/>
          <w:lang w:eastAsia="en-US"/>
        </w:rPr>
        <w:fldChar w:fldCharType="end"/>
      </w:r>
      <w:r w:rsidRPr="00E64956">
        <w:rPr>
          <w:rFonts w:eastAsiaTheme="minorHAnsi" w:cstheme="minorBidi"/>
          <w:kern w:val="18"/>
          <w:sz w:val="18"/>
          <w:szCs w:val="18"/>
          <w:lang w:eastAsia="en-US"/>
        </w:rPr>
        <w:noBreakHyphen/>
      </w:r>
      <w:r w:rsidR="001A69AC" w:rsidRPr="00E64956">
        <w:rPr>
          <w:rFonts w:eastAsiaTheme="minorHAnsi" w:cstheme="minorBidi"/>
          <w:kern w:val="18"/>
          <w:sz w:val="18"/>
          <w:szCs w:val="18"/>
          <w:lang w:eastAsia="en-US"/>
        </w:rPr>
        <w:fldChar w:fldCharType="begin"/>
      </w:r>
      <w:r w:rsidRPr="00E64956">
        <w:rPr>
          <w:rFonts w:eastAsiaTheme="minorHAnsi" w:cstheme="minorBidi"/>
          <w:kern w:val="18"/>
          <w:sz w:val="18"/>
          <w:szCs w:val="18"/>
          <w:lang w:eastAsia="en-US"/>
        </w:rPr>
        <w:instrText xml:space="preserve"> SEQ Figure \* ARABIC \s 1 </w:instrText>
      </w:r>
      <w:r w:rsidR="001A69AC" w:rsidRPr="00E64956">
        <w:rPr>
          <w:rFonts w:eastAsiaTheme="minorHAnsi" w:cstheme="minorBidi"/>
          <w:kern w:val="18"/>
          <w:sz w:val="18"/>
          <w:szCs w:val="18"/>
          <w:lang w:eastAsia="en-US"/>
        </w:rPr>
        <w:fldChar w:fldCharType="separate"/>
      </w:r>
      <w:r w:rsidR="00E14AFB">
        <w:rPr>
          <w:rFonts w:eastAsiaTheme="minorHAnsi" w:cstheme="minorBidi"/>
          <w:noProof/>
          <w:kern w:val="18"/>
          <w:sz w:val="18"/>
          <w:szCs w:val="18"/>
          <w:lang w:eastAsia="en-US"/>
        </w:rPr>
        <w:t>2</w:t>
      </w:r>
      <w:r w:rsidR="001A69AC" w:rsidRPr="00E64956">
        <w:rPr>
          <w:rFonts w:eastAsiaTheme="minorHAnsi" w:cstheme="minorBidi"/>
          <w:kern w:val="18"/>
          <w:sz w:val="18"/>
          <w:szCs w:val="18"/>
          <w:lang w:eastAsia="en-US"/>
        </w:rPr>
        <w:fldChar w:fldCharType="end"/>
      </w:r>
      <w:r w:rsidRPr="00E64956">
        <w:rPr>
          <w:rFonts w:eastAsiaTheme="minorHAnsi" w:cstheme="minorBidi"/>
          <w:kern w:val="18"/>
          <w:sz w:val="18"/>
          <w:szCs w:val="18"/>
          <w:lang w:eastAsia="en-US"/>
        </w:rPr>
        <w:t xml:space="preserve">: Summary of </w:t>
      </w:r>
      <w:r w:rsidR="00FD60AE">
        <w:rPr>
          <w:rFonts w:eastAsiaTheme="minorHAnsi" w:cstheme="minorBidi"/>
          <w:kern w:val="18"/>
          <w:sz w:val="18"/>
          <w:szCs w:val="18"/>
          <w:lang w:eastAsia="en-US"/>
        </w:rPr>
        <w:t>Broadland</w:t>
      </w:r>
      <w:r w:rsidRPr="00E64956">
        <w:rPr>
          <w:rFonts w:eastAsiaTheme="minorHAnsi" w:cstheme="minorBidi"/>
          <w:kern w:val="18"/>
          <w:sz w:val="18"/>
          <w:szCs w:val="18"/>
          <w:lang w:eastAsia="en-US"/>
        </w:rPr>
        <w:t xml:space="preserve"> adopted policies having relevance t</w:t>
      </w:r>
      <w:r w:rsidR="00FD60AE">
        <w:rPr>
          <w:rFonts w:eastAsiaTheme="minorHAnsi" w:cstheme="minorBidi"/>
          <w:kern w:val="18"/>
          <w:sz w:val="18"/>
          <w:szCs w:val="18"/>
          <w:lang w:eastAsia="en-US"/>
        </w:rPr>
        <w:t>o Reedham</w:t>
      </w:r>
      <w:r w:rsidRPr="00E64956">
        <w:rPr>
          <w:rFonts w:eastAsiaTheme="minorHAnsi" w:cstheme="minorBidi"/>
          <w:kern w:val="18"/>
          <w:sz w:val="18"/>
          <w:szCs w:val="18"/>
          <w:lang w:eastAsia="en-US"/>
        </w:rPr>
        <w:t xml:space="preserve"> Neighbourhood Plan Housing Needs Assessment</w:t>
      </w:r>
    </w:p>
    <w:tbl>
      <w:tblPr>
        <w:tblStyle w:val="AECOMtable"/>
        <w:tblW w:w="5000" w:type="pct"/>
        <w:tblLayout w:type="fixed"/>
        <w:tblLook w:val="04A0"/>
      </w:tblPr>
      <w:tblGrid>
        <w:gridCol w:w="2057"/>
        <w:gridCol w:w="7890"/>
      </w:tblGrid>
      <w:tr w:rsidR="007621AC" w:rsidRPr="00E64956" w:rsidTr="007A4FC2">
        <w:trPr>
          <w:cnfStyle w:val="100000000000"/>
          <w:cantSplit/>
          <w:tblHeader/>
        </w:trPr>
        <w:tc>
          <w:tcPr>
            <w:tcW w:w="2034" w:type="dxa"/>
          </w:tcPr>
          <w:p w:rsidR="007621AC" w:rsidRPr="00E64956" w:rsidRDefault="007621AC" w:rsidP="00C378B2">
            <w:pPr>
              <w:pStyle w:val="Tabletext"/>
              <w:jc w:val="both"/>
              <w:rPr>
                <w:rFonts w:asciiTheme="minorHAnsi" w:hAnsiTheme="minorHAnsi"/>
                <w:b w:val="0"/>
                <w:color w:val="auto"/>
                <w:sz w:val="18"/>
                <w:szCs w:val="18"/>
              </w:rPr>
            </w:pPr>
            <w:r w:rsidRPr="00E64956">
              <w:rPr>
                <w:sz w:val="18"/>
                <w:szCs w:val="18"/>
              </w:rPr>
              <w:t>Policy</w:t>
            </w:r>
          </w:p>
        </w:tc>
        <w:tc>
          <w:tcPr>
            <w:tcW w:w="7800" w:type="dxa"/>
          </w:tcPr>
          <w:p w:rsidR="007621AC" w:rsidRPr="00E64956" w:rsidRDefault="007621AC" w:rsidP="00C378B2">
            <w:pPr>
              <w:pStyle w:val="Tabletext"/>
              <w:jc w:val="both"/>
              <w:rPr>
                <w:sz w:val="18"/>
                <w:szCs w:val="18"/>
              </w:rPr>
            </w:pPr>
            <w:r w:rsidRPr="00E64956">
              <w:rPr>
                <w:sz w:val="18"/>
                <w:szCs w:val="18"/>
              </w:rPr>
              <w:t>Provisions</w:t>
            </w:r>
          </w:p>
        </w:tc>
      </w:tr>
      <w:tr w:rsidR="007621AC" w:rsidRPr="00E64956" w:rsidTr="007A4FC2">
        <w:trPr>
          <w:cantSplit/>
          <w:trHeight w:val="240"/>
        </w:trPr>
        <w:tc>
          <w:tcPr>
            <w:tcW w:w="2034" w:type="dxa"/>
          </w:tcPr>
          <w:p w:rsidR="007621AC" w:rsidRPr="00E64956" w:rsidRDefault="007621AC" w:rsidP="007A4FC2">
            <w:pPr>
              <w:pStyle w:val="Tabletext"/>
              <w:rPr>
                <w:sz w:val="18"/>
                <w:szCs w:val="18"/>
              </w:rPr>
            </w:pPr>
            <w:r>
              <w:rPr>
                <w:sz w:val="18"/>
                <w:szCs w:val="18"/>
              </w:rPr>
              <w:lastRenderedPageBreak/>
              <w:t>Policy 4: Housing delivery</w:t>
            </w:r>
          </w:p>
        </w:tc>
        <w:tc>
          <w:tcPr>
            <w:tcW w:w="7800" w:type="dxa"/>
          </w:tcPr>
          <w:p w:rsidR="007621AC" w:rsidRPr="009B3D16" w:rsidRDefault="007621AC" w:rsidP="00C378B2">
            <w:pPr>
              <w:pStyle w:val="Tabletext"/>
              <w:jc w:val="both"/>
              <w:rPr>
                <w:sz w:val="18"/>
                <w:szCs w:val="18"/>
              </w:rPr>
            </w:pPr>
            <w:r w:rsidRPr="009B3D16">
              <w:rPr>
                <w:sz w:val="18"/>
                <w:szCs w:val="18"/>
              </w:rPr>
              <w:t>Allocations will be made to ensure at least 36,820 new homes can be delivered between 2008 and 2026.</w:t>
            </w:r>
          </w:p>
          <w:p w:rsidR="007621AC" w:rsidRPr="009B3D16" w:rsidRDefault="007621AC" w:rsidP="00C378B2">
            <w:pPr>
              <w:pStyle w:val="Tabletext"/>
              <w:jc w:val="both"/>
              <w:rPr>
                <w:sz w:val="18"/>
                <w:szCs w:val="18"/>
              </w:rPr>
            </w:pPr>
            <w:r w:rsidRPr="009B3D16">
              <w:rPr>
                <w:sz w:val="18"/>
                <w:szCs w:val="18"/>
              </w:rPr>
              <w:t xml:space="preserve">Housing mix: Proposals for housing will be required to contribute to the mix of housing required to provide balanced communities and meet the needs of the area, as set out in the most up to date study of housing need and/or Housing Market Assessment. </w:t>
            </w:r>
          </w:p>
          <w:p w:rsidR="007621AC" w:rsidRPr="009B3D16" w:rsidRDefault="007621AC" w:rsidP="00C378B2">
            <w:pPr>
              <w:pStyle w:val="Tabletext"/>
              <w:jc w:val="both"/>
              <w:rPr>
                <w:sz w:val="18"/>
                <w:szCs w:val="18"/>
              </w:rPr>
            </w:pPr>
            <w:r w:rsidRPr="009B3D16">
              <w:rPr>
                <w:sz w:val="18"/>
                <w:szCs w:val="18"/>
              </w:rPr>
              <w:t>Affordable Housing: A proportion of affordable housing, including an appropriate tenure mix, will be sought on all sites for 5 or more dwellings (or 0.2 hectares or more). The proportion of affordable housing and mix of tenure sought will be based on the most up to date needs assessment for the plan area.</w:t>
            </w:r>
            <w:r w:rsidR="009B3D16" w:rsidRPr="009B3D16">
              <w:rPr>
                <w:sz w:val="18"/>
                <w:szCs w:val="18"/>
              </w:rPr>
              <w:t xml:space="preserve"> At the adoption of this strategy the target proportion to meet the demonstrated housing need is:</w:t>
            </w:r>
          </w:p>
          <w:p w:rsidR="009B3D16" w:rsidRPr="009B3D16" w:rsidRDefault="009B3D16" w:rsidP="009B3D16">
            <w:pPr>
              <w:pStyle w:val="TableListBullet"/>
              <w:rPr>
                <w:sz w:val="18"/>
                <w:szCs w:val="18"/>
              </w:rPr>
            </w:pPr>
            <w:r w:rsidRPr="009B3D16">
              <w:rPr>
                <w:sz w:val="18"/>
                <w:szCs w:val="18"/>
              </w:rPr>
              <w:t xml:space="preserve">on sites for 5-9 dwellings (or 0.2 – 0.4 ha), 20% with tenure to be agreed on a site by site basis (numbers rounded, upwards from 0.5) </w:t>
            </w:r>
          </w:p>
          <w:p w:rsidR="009B3D16" w:rsidRPr="009B3D16" w:rsidRDefault="009B3D16" w:rsidP="009B3D16">
            <w:pPr>
              <w:pStyle w:val="TableListBullet"/>
              <w:rPr>
                <w:sz w:val="18"/>
                <w:szCs w:val="18"/>
              </w:rPr>
            </w:pPr>
            <w:r w:rsidRPr="009B3D16">
              <w:rPr>
                <w:sz w:val="18"/>
                <w:szCs w:val="18"/>
              </w:rPr>
              <w:t xml:space="preserve">on sites for 10-15 dwellings (or 0.4 – 0.6 ha), 30% with tenure to be agreed on a site by site basis (numbers rounded, upwards from 0.5) </w:t>
            </w:r>
          </w:p>
          <w:p w:rsidR="009B3D16" w:rsidRPr="009B3D16" w:rsidRDefault="009B3D16" w:rsidP="009B3D16">
            <w:pPr>
              <w:pStyle w:val="TableListBullet"/>
              <w:rPr>
                <w:sz w:val="18"/>
                <w:szCs w:val="18"/>
              </w:rPr>
            </w:pPr>
            <w:r w:rsidRPr="009B3D16">
              <w:rPr>
                <w:sz w:val="18"/>
                <w:szCs w:val="18"/>
              </w:rPr>
              <w:t>on sites for 16 dwellings or more (or over 0.6 ha) 33% with approximate 85% social rented and 15% intermediate tenures (numbers rounded, upwards from 0.5)</w:t>
            </w:r>
          </w:p>
          <w:p w:rsidR="009B3D16" w:rsidRDefault="009B3D16" w:rsidP="009B3D16">
            <w:pPr>
              <w:pStyle w:val="TableListBullet"/>
              <w:numPr>
                <w:ilvl w:val="0"/>
                <w:numId w:val="0"/>
              </w:numPr>
              <w:rPr>
                <w:sz w:val="18"/>
                <w:szCs w:val="18"/>
              </w:rPr>
            </w:pPr>
            <w:r w:rsidRPr="009B3D16">
              <w:rPr>
                <w:sz w:val="18"/>
                <w:szCs w:val="18"/>
              </w:rPr>
              <w:t xml:space="preserve">The proportion of affordable housing sought may be reduced and the balance of tenures amended where it can be demonstrated that site characteristics, including infrastructure provision, together with the requirement for affordable housing would render the site unviable in prevailing market conditions, taking account of the availability of public subsidy to support affordable housing. </w:t>
            </w:r>
          </w:p>
          <w:p w:rsidR="009B3D16" w:rsidRPr="009B3D16" w:rsidRDefault="009B3D16" w:rsidP="009B3D16">
            <w:pPr>
              <w:pStyle w:val="TableListBullet"/>
              <w:numPr>
                <w:ilvl w:val="0"/>
                <w:numId w:val="0"/>
              </w:numPr>
              <w:rPr>
                <w:sz w:val="18"/>
                <w:szCs w:val="18"/>
              </w:rPr>
            </w:pPr>
            <w:r w:rsidRPr="009B3D16">
              <w:rPr>
                <w:sz w:val="18"/>
                <w:szCs w:val="18"/>
              </w:rPr>
              <w:t>At appropriate settlements, sites that would not normally be released for housing will be considered for schemes that specifically meet an identified local need for affordable homes. Such schemes must ensure that the properties are made available in perpetuity for this purpose</w:t>
            </w:r>
          </w:p>
          <w:p w:rsidR="007621AC" w:rsidRPr="009B3D16" w:rsidRDefault="007621AC" w:rsidP="00C378B2">
            <w:pPr>
              <w:pStyle w:val="Tabletext"/>
              <w:jc w:val="both"/>
              <w:rPr>
                <w:sz w:val="18"/>
                <w:szCs w:val="18"/>
              </w:rPr>
            </w:pPr>
            <w:r w:rsidRPr="009B3D16">
              <w:rPr>
                <w:sz w:val="18"/>
                <w:szCs w:val="18"/>
              </w:rPr>
              <w:t xml:space="preserve">Housing with care: Mixed tenure housing with care will be required as part of overall provision in highly accessible locations. </w:t>
            </w:r>
          </w:p>
        </w:tc>
      </w:tr>
      <w:tr w:rsidR="007621AC" w:rsidRPr="00E64956" w:rsidTr="007A4FC2">
        <w:trPr>
          <w:cantSplit/>
          <w:trHeight w:val="240"/>
        </w:trPr>
        <w:tc>
          <w:tcPr>
            <w:tcW w:w="2034" w:type="dxa"/>
          </w:tcPr>
          <w:p w:rsidR="007621AC" w:rsidRDefault="007621AC" w:rsidP="00CD23F3">
            <w:pPr>
              <w:pStyle w:val="Tabletext"/>
              <w:rPr>
                <w:sz w:val="18"/>
                <w:szCs w:val="18"/>
              </w:rPr>
            </w:pPr>
            <w:r>
              <w:rPr>
                <w:sz w:val="18"/>
                <w:szCs w:val="18"/>
              </w:rPr>
              <w:t>Policy 15: Service Villages</w:t>
            </w:r>
          </w:p>
        </w:tc>
        <w:tc>
          <w:tcPr>
            <w:tcW w:w="7800" w:type="dxa"/>
          </w:tcPr>
          <w:p w:rsidR="007621AC" w:rsidRDefault="00CD23F3" w:rsidP="00C378B2">
            <w:pPr>
              <w:pStyle w:val="Tabletext"/>
              <w:jc w:val="both"/>
              <w:rPr>
                <w:sz w:val="18"/>
                <w:szCs w:val="18"/>
              </w:rPr>
            </w:pPr>
            <w:r>
              <w:rPr>
                <w:sz w:val="18"/>
                <w:szCs w:val="18"/>
              </w:rPr>
              <w:t>Reedham is classified as a Service Village. I</w:t>
            </w:r>
            <w:r w:rsidR="007621AC">
              <w:rPr>
                <w:sz w:val="18"/>
                <w:szCs w:val="18"/>
              </w:rPr>
              <w:t xml:space="preserve">n each Service Village land will be allocated for small-scale housing development subject to form and character considerations. Small-scale employment or service development appropriate to the scale and needs of the village and its immediate surroundings will be encouraged. Existing local shops and services will be protected. </w:t>
            </w:r>
          </w:p>
        </w:tc>
      </w:tr>
    </w:tbl>
    <w:p w:rsidR="002C2D5C" w:rsidRPr="00E64956" w:rsidRDefault="002C2D5C" w:rsidP="002C2D5C">
      <w:pPr>
        <w:pStyle w:val="ListNumber"/>
        <w:numPr>
          <w:ilvl w:val="0"/>
          <w:numId w:val="0"/>
        </w:numPr>
        <w:jc w:val="both"/>
        <w:rPr>
          <w:i/>
          <w:sz w:val="18"/>
          <w:szCs w:val="18"/>
        </w:rPr>
      </w:pPr>
      <w:r w:rsidRPr="00E64956">
        <w:rPr>
          <w:i/>
          <w:sz w:val="18"/>
          <w:szCs w:val="18"/>
        </w:rPr>
        <w:t xml:space="preserve">Source: </w:t>
      </w:r>
      <w:r w:rsidR="008D0150">
        <w:rPr>
          <w:i/>
          <w:sz w:val="18"/>
          <w:szCs w:val="18"/>
        </w:rPr>
        <w:t>Broadland District Council</w:t>
      </w:r>
    </w:p>
    <w:p w:rsidR="002C2D5C" w:rsidRDefault="002C2D5C" w:rsidP="002C2D5C">
      <w:pPr>
        <w:pStyle w:val="Heading3"/>
        <w:jc w:val="both"/>
      </w:pPr>
      <w:bookmarkStart w:id="39" w:name="_Toc33015836"/>
      <w:r w:rsidRPr="00BC20E6">
        <w:t>Policies in the</w:t>
      </w:r>
      <w:r w:rsidR="008D0150">
        <w:t xml:space="preserve"> Development Management DPD</w:t>
      </w:r>
      <w:r w:rsidR="003B175A">
        <w:rPr>
          <w:rStyle w:val="FootnoteReference"/>
        </w:rPr>
        <w:footnoteReference w:id="11"/>
      </w:r>
      <w:bookmarkEnd w:id="39"/>
    </w:p>
    <w:p w:rsidR="002C2D5C" w:rsidRPr="00E64956" w:rsidRDefault="002C2D5C" w:rsidP="002C2D5C">
      <w:pPr>
        <w:pStyle w:val="Caption"/>
        <w:tabs>
          <w:tab w:val="left" w:pos="284"/>
        </w:tabs>
        <w:spacing w:before="0" w:line="240" w:lineRule="atLeast"/>
        <w:jc w:val="both"/>
        <w:rPr>
          <w:rFonts w:eastAsiaTheme="minorHAnsi" w:cstheme="minorBidi"/>
          <w:kern w:val="18"/>
          <w:sz w:val="18"/>
          <w:szCs w:val="18"/>
          <w:lang w:eastAsia="en-US"/>
        </w:rPr>
      </w:pPr>
      <w:r w:rsidRPr="00E64956">
        <w:rPr>
          <w:rFonts w:eastAsiaTheme="minorHAnsi" w:cstheme="minorBidi"/>
          <w:kern w:val="18"/>
          <w:sz w:val="18"/>
          <w:szCs w:val="18"/>
          <w:lang w:eastAsia="en-US"/>
        </w:rPr>
        <w:t xml:space="preserve">Table </w:t>
      </w:r>
      <w:r w:rsidR="001A69AC" w:rsidRPr="00E64956">
        <w:rPr>
          <w:rFonts w:eastAsiaTheme="minorHAnsi" w:cstheme="minorBidi"/>
          <w:kern w:val="18"/>
          <w:sz w:val="18"/>
          <w:szCs w:val="18"/>
          <w:lang w:eastAsia="en-US"/>
        </w:rPr>
        <w:fldChar w:fldCharType="begin"/>
      </w:r>
      <w:r w:rsidRPr="00E64956">
        <w:rPr>
          <w:rFonts w:eastAsiaTheme="minorHAnsi" w:cstheme="minorBidi"/>
          <w:kern w:val="18"/>
          <w:sz w:val="18"/>
          <w:szCs w:val="18"/>
          <w:lang w:eastAsia="en-US"/>
        </w:rPr>
        <w:instrText xml:space="preserve"> STYLEREF 1 \s </w:instrText>
      </w:r>
      <w:r w:rsidR="001A69AC" w:rsidRPr="00E64956">
        <w:rPr>
          <w:rFonts w:eastAsiaTheme="minorHAnsi" w:cstheme="minorBidi"/>
          <w:kern w:val="18"/>
          <w:sz w:val="18"/>
          <w:szCs w:val="18"/>
          <w:lang w:eastAsia="en-US"/>
        </w:rPr>
        <w:fldChar w:fldCharType="separate"/>
      </w:r>
      <w:r w:rsidR="00E14AFB">
        <w:rPr>
          <w:rFonts w:eastAsiaTheme="minorHAnsi" w:cstheme="minorBidi"/>
          <w:noProof/>
          <w:kern w:val="18"/>
          <w:sz w:val="18"/>
          <w:szCs w:val="18"/>
          <w:lang w:eastAsia="en-US"/>
        </w:rPr>
        <w:t>2</w:t>
      </w:r>
      <w:r w:rsidR="001A69AC" w:rsidRPr="00E64956">
        <w:rPr>
          <w:rFonts w:eastAsiaTheme="minorHAnsi" w:cstheme="minorBidi"/>
          <w:kern w:val="18"/>
          <w:sz w:val="18"/>
          <w:szCs w:val="18"/>
          <w:lang w:eastAsia="en-US"/>
        </w:rPr>
        <w:fldChar w:fldCharType="end"/>
      </w:r>
      <w:r w:rsidRPr="00E64956">
        <w:rPr>
          <w:rFonts w:eastAsiaTheme="minorHAnsi" w:cstheme="minorBidi"/>
          <w:kern w:val="18"/>
          <w:sz w:val="18"/>
          <w:szCs w:val="18"/>
          <w:lang w:eastAsia="en-US"/>
        </w:rPr>
        <w:noBreakHyphen/>
      </w:r>
      <w:r w:rsidR="001A69AC" w:rsidRPr="00E64956">
        <w:rPr>
          <w:rFonts w:eastAsiaTheme="minorHAnsi" w:cstheme="minorBidi"/>
          <w:kern w:val="18"/>
          <w:sz w:val="18"/>
          <w:szCs w:val="18"/>
          <w:lang w:eastAsia="en-US"/>
        </w:rPr>
        <w:fldChar w:fldCharType="begin"/>
      </w:r>
      <w:r w:rsidRPr="00E64956">
        <w:rPr>
          <w:rFonts w:eastAsiaTheme="minorHAnsi" w:cstheme="minorBidi"/>
          <w:kern w:val="18"/>
          <w:sz w:val="18"/>
          <w:szCs w:val="18"/>
          <w:lang w:eastAsia="en-US"/>
        </w:rPr>
        <w:instrText xml:space="preserve"> SEQ Figure \* ARABIC \s 1 </w:instrText>
      </w:r>
      <w:r w:rsidR="001A69AC" w:rsidRPr="00E64956">
        <w:rPr>
          <w:rFonts w:eastAsiaTheme="minorHAnsi" w:cstheme="minorBidi"/>
          <w:kern w:val="18"/>
          <w:sz w:val="18"/>
          <w:szCs w:val="18"/>
          <w:lang w:eastAsia="en-US"/>
        </w:rPr>
        <w:fldChar w:fldCharType="separate"/>
      </w:r>
      <w:r w:rsidR="00E14AFB">
        <w:rPr>
          <w:rFonts w:eastAsiaTheme="minorHAnsi" w:cstheme="minorBidi"/>
          <w:noProof/>
          <w:kern w:val="18"/>
          <w:sz w:val="18"/>
          <w:szCs w:val="18"/>
          <w:lang w:eastAsia="en-US"/>
        </w:rPr>
        <w:t>3</w:t>
      </w:r>
      <w:r w:rsidR="001A69AC" w:rsidRPr="00E64956">
        <w:rPr>
          <w:rFonts w:eastAsiaTheme="minorHAnsi" w:cstheme="minorBidi"/>
          <w:kern w:val="18"/>
          <w:sz w:val="18"/>
          <w:szCs w:val="18"/>
          <w:lang w:eastAsia="en-US"/>
        </w:rPr>
        <w:fldChar w:fldCharType="end"/>
      </w:r>
      <w:r w:rsidRPr="00E64956">
        <w:rPr>
          <w:rFonts w:eastAsiaTheme="minorHAnsi" w:cstheme="minorBidi"/>
          <w:kern w:val="18"/>
          <w:sz w:val="18"/>
          <w:szCs w:val="18"/>
          <w:lang w:eastAsia="en-US"/>
        </w:rPr>
        <w:t xml:space="preserve">: Summary of </w:t>
      </w:r>
      <w:r w:rsidR="00A44768">
        <w:rPr>
          <w:rFonts w:eastAsiaTheme="minorHAnsi" w:cstheme="minorBidi"/>
          <w:kern w:val="18"/>
          <w:sz w:val="18"/>
          <w:szCs w:val="18"/>
          <w:lang w:eastAsia="en-US"/>
        </w:rPr>
        <w:t>Broadland</w:t>
      </w:r>
      <w:r w:rsidRPr="00E64956">
        <w:rPr>
          <w:rFonts w:eastAsiaTheme="minorHAnsi" w:cstheme="minorBidi"/>
          <w:kern w:val="18"/>
          <w:sz w:val="18"/>
          <w:szCs w:val="18"/>
          <w:lang w:eastAsia="en-US"/>
        </w:rPr>
        <w:t xml:space="preserve"> adopted policies having relevance to </w:t>
      </w:r>
      <w:r w:rsidR="00A44768">
        <w:rPr>
          <w:rFonts w:eastAsiaTheme="minorHAnsi" w:cstheme="minorBidi"/>
          <w:kern w:val="18"/>
          <w:sz w:val="18"/>
          <w:szCs w:val="18"/>
          <w:lang w:eastAsia="en-US"/>
        </w:rPr>
        <w:t>Reedham</w:t>
      </w:r>
      <w:r w:rsidRPr="00E64956">
        <w:rPr>
          <w:rFonts w:eastAsiaTheme="minorHAnsi" w:cstheme="minorBidi"/>
          <w:kern w:val="18"/>
          <w:sz w:val="18"/>
          <w:szCs w:val="18"/>
          <w:lang w:eastAsia="en-US"/>
        </w:rPr>
        <w:t xml:space="preserve"> Neighbourhood Plan Housing Needs Assessment</w:t>
      </w:r>
    </w:p>
    <w:tbl>
      <w:tblPr>
        <w:tblStyle w:val="AECOMtable"/>
        <w:tblW w:w="5000" w:type="pct"/>
        <w:tblLayout w:type="fixed"/>
        <w:tblLook w:val="04A0"/>
      </w:tblPr>
      <w:tblGrid>
        <w:gridCol w:w="2057"/>
        <w:gridCol w:w="7890"/>
      </w:tblGrid>
      <w:tr w:rsidR="007621AC" w:rsidRPr="00E64956" w:rsidTr="007A4FC2">
        <w:trPr>
          <w:cnfStyle w:val="100000000000"/>
          <w:cantSplit/>
          <w:tblHeader/>
        </w:trPr>
        <w:tc>
          <w:tcPr>
            <w:tcW w:w="2034" w:type="dxa"/>
          </w:tcPr>
          <w:p w:rsidR="007621AC" w:rsidRPr="00E64956" w:rsidRDefault="007621AC" w:rsidP="00C378B2">
            <w:pPr>
              <w:pStyle w:val="Tabletext"/>
              <w:jc w:val="both"/>
              <w:rPr>
                <w:rFonts w:asciiTheme="minorHAnsi" w:hAnsiTheme="minorHAnsi"/>
                <w:b w:val="0"/>
                <w:color w:val="auto"/>
                <w:sz w:val="18"/>
                <w:szCs w:val="18"/>
              </w:rPr>
            </w:pPr>
            <w:r w:rsidRPr="00E64956">
              <w:rPr>
                <w:sz w:val="18"/>
                <w:szCs w:val="18"/>
              </w:rPr>
              <w:t>Policy</w:t>
            </w:r>
          </w:p>
        </w:tc>
        <w:tc>
          <w:tcPr>
            <w:tcW w:w="7800" w:type="dxa"/>
          </w:tcPr>
          <w:p w:rsidR="007621AC" w:rsidRPr="00E64956" w:rsidRDefault="007621AC" w:rsidP="00C378B2">
            <w:pPr>
              <w:pStyle w:val="Tabletext"/>
              <w:jc w:val="both"/>
              <w:rPr>
                <w:sz w:val="18"/>
                <w:szCs w:val="18"/>
              </w:rPr>
            </w:pPr>
            <w:r w:rsidRPr="00E64956">
              <w:rPr>
                <w:sz w:val="18"/>
                <w:szCs w:val="18"/>
              </w:rPr>
              <w:t>Provisions</w:t>
            </w:r>
          </w:p>
        </w:tc>
      </w:tr>
      <w:tr w:rsidR="007621AC" w:rsidRPr="00E64956" w:rsidTr="007A4FC2">
        <w:trPr>
          <w:cantSplit/>
          <w:trHeight w:val="240"/>
        </w:trPr>
        <w:tc>
          <w:tcPr>
            <w:tcW w:w="2034" w:type="dxa"/>
          </w:tcPr>
          <w:p w:rsidR="007621AC" w:rsidRPr="00E64956" w:rsidRDefault="007621AC" w:rsidP="007A4FC2">
            <w:pPr>
              <w:pStyle w:val="Tabletext"/>
              <w:rPr>
                <w:sz w:val="18"/>
                <w:szCs w:val="18"/>
              </w:rPr>
            </w:pPr>
            <w:r>
              <w:rPr>
                <w:sz w:val="18"/>
                <w:szCs w:val="18"/>
              </w:rPr>
              <w:t>Policy CG2: Location of new development</w:t>
            </w:r>
          </w:p>
        </w:tc>
        <w:tc>
          <w:tcPr>
            <w:tcW w:w="7800" w:type="dxa"/>
          </w:tcPr>
          <w:p w:rsidR="007621AC" w:rsidRPr="00E64956" w:rsidRDefault="007621AC" w:rsidP="00C378B2">
            <w:pPr>
              <w:pStyle w:val="Tabletext"/>
              <w:jc w:val="both"/>
              <w:rPr>
                <w:sz w:val="18"/>
                <w:szCs w:val="18"/>
              </w:rPr>
            </w:pPr>
            <w:r>
              <w:rPr>
                <w:sz w:val="18"/>
                <w:szCs w:val="18"/>
              </w:rPr>
              <w:t xml:space="preserve">New development will be accommodated within the settlement limits defined on the policies map. Outside of these limits development which does not result in any significant adverse impact will be permitted where it accords with a specific allocation and/or policy of the development plan. </w:t>
            </w:r>
          </w:p>
        </w:tc>
      </w:tr>
      <w:tr w:rsidR="007621AC" w:rsidRPr="00E64956" w:rsidTr="007A4FC2">
        <w:trPr>
          <w:cantSplit/>
          <w:trHeight w:val="240"/>
        </w:trPr>
        <w:tc>
          <w:tcPr>
            <w:tcW w:w="2034" w:type="dxa"/>
          </w:tcPr>
          <w:p w:rsidR="007621AC" w:rsidRPr="00E64956" w:rsidRDefault="007621AC" w:rsidP="007A4FC2">
            <w:pPr>
              <w:pStyle w:val="Tabletext"/>
              <w:rPr>
                <w:sz w:val="18"/>
                <w:szCs w:val="18"/>
              </w:rPr>
            </w:pPr>
            <w:r>
              <w:rPr>
                <w:sz w:val="18"/>
                <w:szCs w:val="18"/>
              </w:rPr>
              <w:t>Policy GC4 – Design</w:t>
            </w:r>
          </w:p>
        </w:tc>
        <w:tc>
          <w:tcPr>
            <w:tcW w:w="7800" w:type="dxa"/>
          </w:tcPr>
          <w:p w:rsidR="007621AC" w:rsidRPr="00E64956" w:rsidRDefault="007621AC" w:rsidP="00C378B2">
            <w:pPr>
              <w:pStyle w:val="Tabletext"/>
              <w:jc w:val="both"/>
              <w:rPr>
                <w:sz w:val="18"/>
                <w:szCs w:val="18"/>
              </w:rPr>
            </w:pPr>
            <w:r>
              <w:rPr>
                <w:sz w:val="18"/>
                <w:szCs w:val="18"/>
              </w:rPr>
              <w:t xml:space="preserve">Development will be expected to achieve a high standard of design and avoid any significant detrimental impact. Schemes which are of an innovative nature or which reduce reliance on centralised, non-renewable energy sources will be particularly encouraged. </w:t>
            </w:r>
          </w:p>
        </w:tc>
      </w:tr>
    </w:tbl>
    <w:p w:rsidR="007D67D7" w:rsidRDefault="002C2D5C" w:rsidP="002C2D5C">
      <w:pPr>
        <w:pStyle w:val="ListNumber"/>
        <w:numPr>
          <w:ilvl w:val="0"/>
          <w:numId w:val="0"/>
        </w:numPr>
        <w:jc w:val="both"/>
        <w:rPr>
          <w:i/>
          <w:sz w:val="18"/>
          <w:szCs w:val="18"/>
        </w:rPr>
      </w:pPr>
      <w:r w:rsidRPr="00E64956">
        <w:rPr>
          <w:i/>
          <w:sz w:val="18"/>
          <w:szCs w:val="18"/>
        </w:rPr>
        <w:t xml:space="preserve">Source: </w:t>
      </w:r>
      <w:r w:rsidR="00B20965">
        <w:rPr>
          <w:i/>
          <w:sz w:val="18"/>
          <w:szCs w:val="18"/>
        </w:rPr>
        <w:t>Broadland District Council</w:t>
      </w:r>
    </w:p>
    <w:p w:rsidR="00B20965" w:rsidRDefault="00B20965" w:rsidP="00B20965">
      <w:pPr>
        <w:pStyle w:val="Heading3"/>
      </w:pPr>
      <w:bookmarkStart w:id="40" w:name="_Toc33015837"/>
      <w:r>
        <w:lastRenderedPageBreak/>
        <w:t>Policies in the Site Allocations DPD</w:t>
      </w:r>
      <w:r>
        <w:rPr>
          <w:rStyle w:val="FootnoteReference"/>
        </w:rPr>
        <w:footnoteReference w:id="12"/>
      </w:r>
      <w:bookmarkEnd w:id="40"/>
    </w:p>
    <w:p w:rsidR="00B20965" w:rsidRDefault="00B20965" w:rsidP="00B20965">
      <w:pPr>
        <w:pStyle w:val="Caption"/>
        <w:jc w:val="both"/>
        <w:rPr>
          <w:sz w:val="18"/>
          <w:szCs w:val="18"/>
        </w:rPr>
      </w:pPr>
      <w:r w:rsidRPr="00B20965">
        <w:rPr>
          <w:sz w:val="18"/>
          <w:szCs w:val="18"/>
        </w:rPr>
        <w:t>Table 2-4</w:t>
      </w:r>
      <w:r>
        <w:rPr>
          <w:sz w:val="18"/>
          <w:szCs w:val="18"/>
        </w:rPr>
        <w:t xml:space="preserve"> Summary of Broadland adopted policies having relevance to Reedham Neighbourhood Plan Housing Needs Assessment </w:t>
      </w:r>
    </w:p>
    <w:tbl>
      <w:tblPr>
        <w:tblStyle w:val="AECOMtable"/>
        <w:tblW w:w="5000" w:type="pct"/>
        <w:tblLayout w:type="fixed"/>
        <w:tblLook w:val="04A0"/>
      </w:tblPr>
      <w:tblGrid>
        <w:gridCol w:w="2030"/>
        <w:gridCol w:w="7917"/>
      </w:tblGrid>
      <w:tr w:rsidR="000800C1" w:rsidRPr="00E64956" w:rsidTr="007A4FC2">
        <w:trPr>
          <w:cnfStyle w:val="100000000000"/>
          <w:cantSplit/>
          <w:tblHeader/>
        </w:trPr>
        <w:tc>
          <w:tcPr>
            <w:tcW w:w="2007" w:type="dxa"/>
          </w:tcPr>
          <w:p w:rsidR="000800C1" w:rsidRPr="00E64956" w:rsidRDefault="000800C1" w:rsidP="00CB34AC">
            <w:pPr>
              <w:pStyle w:val="Tabletext"/>
              <w:jc w:val="both"/>
              <w:rPr>
                <w:rFonts w:asciiTheme="minorHAnsi" w:hAnsiTheme="minorHAnsi"/>
                <w:b w:val="0"/>
                <w:color w:val="auto"/>
                <w:sz w:val="18"/>
                <w:szCs w:val="18"/>
              </w:rPr>
            </w:pPr>
            <w:r w:rsidRPr="00E64956">
              <w:rPr>
                <w:sz w:val="18"/>
                <w:szCs w:val="18"/>
              </w:rPr>
              <w:t>Policy</w:t>
            </w:r>
          </w:p>
        </w:tc>
        <w:tc>
          <w:tcPr>
            <w:tcW w:w="7827" w:type="dxa"/>
          </w:tcPr>
          <w:p w:rsidR="000800C1" w:rsidRPr="00E64956" w:rsidRDefault="000800C1" w:rsidP="00CB34AC">
            <w:pPr>
              <w:pStyle w:val="Tabletext"/>
              <w:jc w:val="both"/>
              <w:rPr>
                <w:sz w:val="18"/>
                <w:szCs w:val="18"/>
              </w:rPr>
            </w:pPr>
            <w:r w:rsidRPr="00E64956">
              <w:rPr>
                <w:sz w:val="18"/>
                <w:szCs w:val="18"/>
              </w:rPr>
              <w:t>Provisions</w:t>
            </w:r>
          </w:p>
        </w:tc>
      </w:tr>
      <w:tr w:rsidR="000800C1" w:rsidRPr="00E64956" w:rsidTr="007A4FC2">
        <w:trPr>
          <w:cantSplit/>
          <w:trHeight w:val="240"/>
        </w:trPr>
        <w:tc>
          <w:tcPr>
            <w:tcW w:w="2007" w:type="dxa"/>
          </w:tcPr>
          <w:p w:rsidR="000800C1" w:rsidRPr="00E64956" w:rsidRDefault="000800C1" w:rsidP="007A4FC2">
            <w:pPr>
              <w:pStyle w:val="Tabletext"/>
              <w:rPr>
                <w:sz w:val="18"/>
                <w:szCs w:val="18"/>
              </w:rPr>
            </w:pPr>
            <w:r>
              <w:rPr>
                <w:sz w:val="18"/>
                <w:szCs w:val="18"/>
              </w:rPr>
              <w:t>RED1: Land at Station Road, Reedham (approx. 0.9Ha) is allocated for residential development. This will accommodate approximately 15-20 homes.</w:t>
            </w:r>
          </w:p>
        </w:tc>
        <w:tc>
          <w:tcPr>
            <w:tcW w:w="7827" w:type="dxa"/>
          </w:tcPr>
          <w:p w:rsidR="000800C1" w:rsidRDefault="000800C1" w:rsidP="00CB34AC">
            <w:pPr>
              <w:pStyle w:val="Tabletext"/>
              <w:jc w:val="both"/>
              <w:rPr>
                <w:sz w:val="18"/>
                <w:szCs w:val="18"/>
              </w:rPr>
            </w:pPr>
            <w:r>
              <w:rPr>
                <w:sz w:val="18"/>
                <w:szCs w:val="18"/>
              </w:rPr>
              <w:t>It will need to comply with relevant policies in the Development Plan and the National Planning Policy Framework.</w:t>
            </w:r>
          </w:p>
          <w:p w:rsidR="000800C1" w:rsidRDefault="000800C1" w:rsidP="00CB34AC">
            <w:pPr>
              <w:pStyle w:val="Tabletext"/>
              <w:jc w:val="both"/>
              <w:rPr>
                <w:sz w:val="18"/>
                <w:szCs w:val="18"/>
              </w:rPr>
            </w:pPr>
            <w:r>
              <w:rPr>
                <w:sz w:val="18"/>
                <w:szCs w:val="18"/>
              </w:rPr>
              <w:t>A mix of housing sizes, types and tenures should be provided to reflect the needs and demands in the area, including affordable housing.</w:t>
            </w:r>
          </w:p>
          <w:p w:rsidR="000800C1" w:rsidRDefault="000800C1" w:rsidP="00CB34AC">
            <w:pPr>
              <w:pStyle w:val="Tabletext"/>
              <w:jc w:val="both"/>
              <w:rPr>
                <w:sz w:val="18"/>
                <w:szCs w:val="18"/>
              </w:rPr>
            </w:pPr>
            <w:r>
              <w:rPr>
                <w:sz w:val="18"/>
                <w:szCs w:val="18"/>
              </w:rPr>
              <w:t>Access (vehicular and pedestrian) off Yare View Close and/or Station Road.</w:t>
            </w:r>
          </w:p>
          <w:p w:rsidR="000800C1" w:rsidRDefault="000800C1" w:rsidP="00CB34AC">
            <w:pPr>
              <w:pStyle w:val="Tabletext"/>
              <w:jc w:val="both"/>
              <w:rPr>
                <w:sz w:val="18"/>
                <w:szCs w:val="18"/>
              </w:rPr>
            </w:pPr>
            <w:r>
              <w:rPr>
                <w:sz w:val="18"/>
                <w:szCs w:val="18"/>
              </w:rPr>
              <w:t>Off-site improvements to the highway network may be necessary which might include the extension of the footway along Station Road which links to the school.</w:t>
            </w:r>
          </w:p>
          <w:p w:rsidR="000800C1" w:rsidRDefault="000800C1" w:rsidP="00CB34AC">
            <w:pPr>
              <w:pStyle w:val="Tabletext"/>
              <w:jc w:val="both"/>
              <w:rPr>
                <w:sz w:val="18"/>
                <w:szCs w:val="18"/>
              </w:rPr>
            </w:pPr>
            <w:r>
              <w:rPr>
                <w:sz w:val="18"/>
                <w:szCs w:val="18"/>
              </w:rPr>
              <w:t>A sustainable drainage system (SUDS) should be provided. However, this is likely to require further investigation given the low-lying nature of the land and the proximity to an area of flood risk. It may be that additional land beyond the allocation site is required to accommodate surface water attenuation devices and/or a reduction in the number of dwellings is necessary. Particular regard should be had to avoiding impacts on the wetland habitats of the Broads Area.</w:t>
            </w:r>
          </w:p>
          <w:p w:rsidR="000800C1" w:rsidRDefault="000800C1" w:rsidP="00CB34AC">
            <w:pPr>
              <w:pStyle w:val="Tabletext"/>
              <w:jc w:val="both"/>
              <w:rPr>
                <w:sz w:val="18"/>
                <w:szCs w:val="18"/>
              </w:rPr>
            </w:pPr>
            <w:r>
              <w:rPr>
                <w:sz w:val="18"/>
                <w:szCs w:val="18"/>
              </w:rPr>
              <w:t>Adequate landscaping and Green Infrastructure to be provided, in particular to mitigate any impacts on the setting of and views from the Broads Area.</w:t>
            </w:r>
          </w:p>
          <w:p w:rsidR="000800C1" w:rsidRDefault="000800C1" w:rsidP="00CB34AC">
            <w:pPr>
              <w:pStyle w:val="Tabletext"/>
              <w:jc w:val="both"/>
              <w:rPr>
                <w:sz w:val="18"/>
                <w:szCs w:val="18"/>
              </w:rPr>
            </w:pPr>
            <w:r>
              <w:rPr>
                <w:sz w:val="18"/>
                <w:szCs w:val="18"/>
              </w:rPr>
              <w:t>Design and layout will have regard to the local character of the area.</w:t>
            </w:r>
          </w:p>
          <w:p w:rsidR="000800C1" w:rsidRDefault="000800C1" w:rsidP="00CB34AC">
            <w:pPr>
              <w:pStyle w:val="Tabletext"/>
              <w:jc w:val="both"/>
              <w:rPr>
                <w:sz w:val="18"/>
                <w:szCs w:val="18"/>
              </w:rPr>
            </w:pPr>
            <w:r>
              <w:rPr>
                <w:sz w:val="18"/>
                <w:szCs w:val="18"/>
              </w:rPr>
              <w:t xml:space="preserve">The site contains a historic environment record and therefore further investigation is likely to be required in respect of archaeology. </w:t>
            </w:r>
          </w:p>
          <w:p w:rsidR="000800C1" w:rsidRPr="00E64956" w:rsidRDefault="000800C1" w:rsidP="00CB34AC">
            <w:pPr>
              <w:pStyle w:val="Tabletext"/>
              <w:jc w:val="both"/>
              <w:rPr>
                <w:sz w:val="18"/>
                <w:szCs w:val="18"/>
              </w:rPr>
            </w:pPr>
            <w:r>
              <w:rPr>
                <w:sz w:val="18"/>
                <w:szCs w:val="18"/>
              </w:rPr>
              <w:t xml:space="preserve">Infrastructure provision: improvements to social and physical infrastructure will need to be undertaken by the relevant bodies, as appropriate. This is likely to include improvements to sewerage, highways and recreational provision. Funding towards this may be required of the developer directly, and/or through the Community Infrastructure Levy paid by the developer. </w:t>
            </w:r>
          </w:p>
        </w:tc>
      </w:tr>
    </w:tbl>
    <w:p w:rsidR="00B20965" w:rsidRDefault="00B20965" w:rsidP="00B20965">
      <w:pPr>
        <w:pStyle w:val="ListNumber"/>
        <w:numPr>
          <w:ilvl w:val="0"/>
          <w:numId w:val="0"/>
        </w:numPr>
        <w:jc w:val="both"/>
        <w:rPr>
          <w:i/>
          <w:sz w:val="18"/>
          <w:szCs w:val="18"/>
        </w:rPr>
      </w:pPr>
      <w:r w:rsidRPr="00E64956">
        <w:rPr>
          <w:i/>
          <w:sz w:val="18"/>
          <w:szCs w:val="18"/>
        </w:rPr>
        <w:t xml:space="preserve">Source: </w:t>
      </w:r>
      <w:r>
        <w:rPr>
          <w:i/>
          <w:sz w:val="18"/>
          <w:szCs w:val="18"/>
        </w:rPr>
        <w:t>Broadland District Council</w:t>
      </w:r>
    </w:p>
    <w:p w:rsidR="00B20965" w:rsidRDefault="00DB3B87" w:rsidP="00CB34AC">
      <w:pPr>
        <w:pStyle w:val="Heading3"/>
      </w:pPr>
      <w:bookmarkStart w:id="41" w:name="_Toc33015838"/>
      <w:r>
        <w:t xml:space="preserve">Policies in the </w:t>
      </w:r>
      <w:r w:rsidR="00646E8B">
        <w:t>G</w:t>
      </w:r>
      <w:r>
        <w:t>rowth Triangle Area Action Plan 2016</w:t>
      </w:r>
      <w:r>
        <w:rPr>
          <w:rStyle w:val="FootnoteReference"/>
        </w:rPr>
        <w:footnoteReference w:id="13"/>
      </w:r>
      <w:bookmarkEnd w:id="41"/>
    </w:p>
    <w:p w:rsidR="00DC5C1A" w:rsidRPr="00DC5C1A" w:rsidRDefault="00646E8B" w:rsidP="00DC5C1A">
      <w:pPr>
        <w:pStyle w:val="Caption"/>
        <w:jc w:val="both"/>
        <w:rPr>
          <w:sz w:val="18"/>
          <w:szCs w:val="18"/>
        </w:rPr>
      </w:pPr>
      <w:r w:rsidRPr="00B20965">
        <w:rPr>
          <w:sz w:val="18"/>
          <w:szCs w:val="18"/>
        </w:rPr>
        <w:t>Table 2-</w:t>
      </w:r>
      <w:r>
        <w:rPr>
          <w:sz w:val="18"/>
          <w:szCs w:val="18"/>
        </w:rPr>
        <w:t xml:space="preserve">5 Summary of Broadland adopted policies having relevance to Reedham Neighbourhood Plan Housing Needs Assessment </w:t>
      </w:r>
    </w:p>
    <w:tbl>
      <w:tblPr>
        <w:tblStyle w:val="AECOMtable"/>
        <w:tblW w:w="5000" w:type="pct"/>
        <w:tblLayout w:type="fixed"/>
        <w:tblLook w:val="04A0"/>
      </w:tblPr>
      <w:tblGrid>
        <w:gridCol w:w="2133"/>
        <w:gridCol w:w="7814"/>
      </w:tblGrid>
      <w:tr w:rsidR="00DC5C1A" w:rsidRPr="00646E8B" w:rsidTr="007A4FC2">
        <w:trPr>
          <w:cnfStyle w:val="100000000000"/>
          <w:tblHeader/>
        </w:trPr>
        <w:tc>
          <w:tcPr>
            <w:tcW w:w="2109" w:type="dxa"/>
          </w:tcPr>
          <w:p w:rsidR="00DC5C1A" w:rsidRPr="00646E8B" w:rsidRDefault="00DC5C1A" w:rsidP="00646E8B">
            <w:pPr>
              <w:pStyle w:val="Tabletext"/>
            </w:pPr>
            <w:r w:rsidRPr="00E64956">
              <w:rPr>
                <w:sz w:val="18"/>
                <w:szCs w:val="18"/>
              </w:rPr>
              <w:t>Policy</w:t>
            </w:r>
          </w:p>
        </w:tc>
        <w:tc>
          <w:tcPr>
            <w:tcW w:w="7725" w:type="dxa"/>
          </w:tcPr>
          <w:p w:rsidR="00DC5C1A" w:rsidRPr="00646E8B" w:rsidRDefault="00DC5C1A" w:rsidP="00646E8B">
            <w:pPr>
              <w:pStyle w:val="Tabletext"/>
            </w:pPr>
            <w:r w:rsidRPr="00E64956">
              <w:rPr>
                <w:sz w:val="18"/>
                <w:szCs w:val="18"/>
              </w:rPr>
              <w:t>Provisions</w:t>
            </w:r>
          </w:p>
        </w:tc>
      </w:tr>
      <w:tr w:rsidR="00DC5C1A" w:rsidRPr="000C334B" w:rsidTr="007A4FC2">
        <w:trPr>
          <w:trHeight w:val="255"/>
        </w:trPr>
        <w:tc>
          <w:tcPr>
            <w:tcW w:w="2109" w:type="dxa"/>
          </w:tcPr>
          <w:p w:rsidR="00DC5C1A" w:rsidRPr="00DC5C1A" w:rsidRDefault="00DC5C1A" w:rsidP="00DC5DF5">
            <w:pPr>
              <w:pStyle w:val="Tabletext"/>
              <w:rPr>
                <w:sz w:val="18"/>
                <w:szCs w:val="18"/>
              </w:rPr>
            </w:pPr>
            <w:r w:rsidRPr="00DC5C1A">
              <w:rPr>
                <w:sz w:val="18"/>
                <w:szCs w:val="18"/>
              </w:rPr>
              <w:t>GT 1: Form of Development</w:t>
            </w:r>
          </w:p>
        </w:tc>
        <w:tc>
          <w:tcPr>
            <w:tcW w:w="7725" w:type="dxa"/>
          </w:tcPr>
          <w:p w:rsidR="00DC5C1A" w:rsidRPr="00DC5C1A" w:rsidRDefault="00DC5C1A" w:rsidP="00646E8B">
            <w:pPr>
              <w:pStyle w:val="Tabletext"/>
              <w:rPr>
                <w:sz w:val="18"/>
                <w:szCs w:val="18"/>
              </w:rPr>
            </w:pPr>
            <w:r w:rsidRPr="00DC5C1A">
              <w:rPr>
                <w:sz w:val="18"/>
                <w:szCs w:val="18"/>
              </w:rPr>
              <w:t>All development proposals should create, or contribute to the creation of, distinct quarters; the characteristics of which should be based upon the principles of mixed</w:t>
            </w:r>
            <w:r w:rsidR="002B2827">
              <w:rPr>
                <w:sz w:val="18"/>
                <w:szCs w:val="18"/>
              </w:rPr>
              <w:t>-</w:t>
            </w:r>
            <w:r w:rsidRPr="00DC5C1A">
              <w:rPr>
                <w:sz w:val="18"/>
                <w:szCs w:val="18"/>
              </w:rPr>
              <w:t>use walkable neighbourhoods. Developments are expected to provide, or contribute to the provision of, community services and facilities, as set out in the allocations policies.</w:t>
            </w:r>
          </w:p>
        </w:tc>
      </w:tr>
    </w:tbl>
    <w:p w:rsidR="00646E8B" w:rsidRDefault="00646E8B" w:rsidP="0043702D">
      <w:pPr>
        <w:pStyle w:val="Source"/>
        <w:rPr>
          <w:sz w:val="18"/>
          <w:szCs w:val="18"/>
        </w:rPr>
      </w:pPr>
      <w:r w:rsidRPr="005C20C8">
        <w:rPr>
          <w:sz w:val="18"/>
          <w:szCs w:val="18"/>
        </w:rPr>
        <w:t xml:space="preserve">Source: </w:t>
      </w:r>
      <w:r w:rsidR="005C20C8" w:rsidRPr="005C20C8">
        <w:rPr>
          <w:sz w:val="18"/>
          <w:szCs w:val="18"/>
        </w:rPr>
        <w:t xml:space="preserve">Broadland District Council </w:t>
      </w:r>
    </w:p>
    <w:p w:rsidR="006927CA" w:rsidRDefault="006927CA" w:rsidP="003B15DA">
      <w:pPr>
        <w:pStyle w:val="Heading3"/>
      </w:pPr>
      <w:bookmarkStart w:id="42" w:name="_Toc33015839"/>
      <w:r>
        <w:t>Policies in the Draft Greater Norwich Local Plan</w:t>
      </w:r>
      <w:bookmarkEnd w:id="42"/>
    </w:p>
    <w:p w:rsidR="00536CDB" w:rsidRPr="00ED47CA" w:rsidRDefault="006927CA" w:rsidP="00ED47CA">
      <w:pPr>
        <w:pStyle w:val="Caption"/>
        <w:tabs>
          <w:tab w:val="left" w:pos="284"/>
        </w:tabs>
        <w:spacing w:before="0" w:line="240" w:lineRule="atLeast"/>
        <w:jc w:val="both"/>
        <w:rPr>
          <w:rFonts w:eastAsiaTheme="minorHAnsi" w:cstheme="minorBidi"/>
          <w:kern w:val="18"/>
          <w:sz w:val="18"/>
          <w:szCs w:val="18"/>
          <w:lang w:eastAsia="en-US"/>
        </w:rPr>
      </w:pPr>
      <w:r w:rsidRPr="00E64956">
        <w:rPr>
          <w:rFonts w:eastAsiaTheme="minorHAnsi" w:cstheme="minorBidi"/>
          <w:kern w:val="18"/>
          <w:sz w:val="18"/>
          <w:szCs w:val="18"/>
          <w:lang w:eastAsia="en-US"/>
        </w:rPr>
        <w:t xml:space="preserve">Table </w:t>
      </w:r>
      <w:r w:rsidR="001A69AC" w:rsidRPr="00E64956">
        <w:rPr>
          <w:rFonts w:eastAsiaTheme="minorHAnsi" w:cstheme="minorBidi"/>
          <w:kern w:val="18"/>
          <w:sz w:val="18"/>
          <w:szCs w:val="18"/>
          <w:lang w:eastAsia="en-US"/>
        </w:rPr>
        <w:fldChar w:fldCharType="begin"/>
      </w:r>
      <w:r w:rsidRPr="00E64956">
        <w:rPr>
          <w:rFonts w:eastAsiaTheme="minorHAnsi" w:cstheme="minorBidi"/>
          <w:kern w:val="18"/>
          <w:sz w:val="18"/>
          <w:szCs w:val="18"/>
          <w:lang w:eastAsia="en-US"/>
        </w:rPr>
        <w:instrText xml:space="preserve"> STYLEREF 1 \s </w:instrText>
      </w:r>
      <w:r w:rsidR="001A69AC" w:rsidRPr="00E64956">
        <w:rPr>
          <w:rFonts w:eastAsiaTheme="minorHAnsi" w:cstheme="minorBidi"/>
          <w:kern w:val="18"/>
          <w:sz w:val="18"/>
          <w:szCs w:val="18"/>
          <w:lang w:eastAsia="en-US"/>
        </w:rPr>
        <w:fldChar w:fldCharType="separate"/>
      </w:r>
      <w:r>
        <w:rPr>
          <w:rFonts w:eastAsiaTheme="minorHAnsi" w:cstheme="minorBidi"/>
          <w:noProof/>
          <w:kern w:val="18"/>
          <w:sz w:val="18"/>
          <w:szCs w:val="18"/>
          <w:lang w:eastAsia="en-US"/>
        </w:rPr>
        <w:t>2</w:t>
      </w:r>
      <w:r w:rsidR="001A69AC" w:rsidRPr="00E64956">
        <w:rPr>
          <w:rFonts w:eastAsiaTheme="minorHAnsi" w:cstheme="minorBidi"/>
          <w:kern w:val="18"/>
          <w:sz w:val="18"/>
          <w:szCs w:val="18"/>
          <w:lang w:eastAsia="en-US"/>
        </w:rPr>
        <w:fldChar w:fldCharType="end"/>
      </w:r>
      <w:r w:rsidRPr="00E64956">
        <w:rPr>
          <w:rFonts w:eastAsiaTheme="minorHAnsi" w:cstheme="minorBidi"/>
          <w:kern w:val="18"/>
          <w:sz w:val="18"/>
          <w:szCs w:val="18"/>
          <w:lang w:eastAsia="en-US"/>
        </w:rPr>
        <w:noBreakHyphen/>
      </w:r>
      <w:r>
        <w:rPr>
          <w:rFonts w:eastAsiaTheme="minorHAnsi" w:cstheme="minorBidi"/>
          <w:kern w:val="18"/>
          <w:sz w:val="18"/>
          <w:szCs w:val="18"/>
          <w:lang w:eastAsia="en-US"/>
        </w:rPr>
        <w:t>6</w:t>
      </w:r>
      <w:r w:rsidRPr="00E64956">
        <w:rPr>
          <w:rFonts w:eastAsiaTheme="minorHAnsi" w:cstheme="minorBidi"/>
          <w:kern w:val="18"/>
          <w:sz w:val="18"/>
          <w:szCs w:val="18"/>
          <w:lang w:eastAsia="en-US"/>
        </w:rPr>
        <w:t xml:space="preserve">: Summary of </w:t>
      </w:r>
      <w:r>
        <w:rPr>
          <w:rFonts w:eastAsiaTheme="minorHAnsi" w:cstheme="minorBidi"/>
          <w:kern w:val="18"/>
          <w:sz w:val="18"/>
          <w:szCs w:val="18"/>
          <w:lang w:eastAsia="en-US"/>
        </w:rPr>
        <w:t xml:space="preserve">Local Plan </w:t>
      </w:r>
      <w:r w:rsidRPr="00E64956">
        <w:rPr>
          <w:rFonts w:eastAsiaTheme="minorHAnsi" w:cstheme="minorBidi"/>
          <w:kern w:val="18"/>
          <w:sz w:val="18"/>
          <w:szCs w:val="18"/>
          <w:lang w:eastAsia="en-US"/>
        </w:rPr>
        <w:t>policies having relevance t</w:t>
      </w:r>
      <w:r>
        <w:rPr>
          <w:rFonts w:eastAsiaTheme="minorHAnsi" w:cstheme="minorBidi"/>
          <w:kern w:val="18"/>
          <w:sz w:val="18"/>
          <w:szCs w:val="18"/>
          <w:lang w:eastAsia="en-US"/>
        </w:rPr>
        <w:t>o Reedham</w:t>
      </w:r>
      <w:r w:rsidRPr="00E64956">
        <w:rPr>
          <w:rFonts w:eastAsiaTheme="minorHAnsi" w:cstheme="minorBidi"/>
          <w:kern w:val="18"/>
          <w:sz w:val="18"/>
          <w:szCs w:val="18"/>
          <w:lang w:eastAsia="en-US"/>
        </w:rPr>
        <w:t xml:space="preserve"> Neighbourhood Plan Housing Needs Assessment</w:t>
      </w:r>
    </w:p>
    <w:tbl>
      <w:tblPr>
        <w:tblStyle w:val="AECOMtable"/>
        <w:tblW w:w="4950" w:type="pct"/>
        <w:tblLayout w:type="fixed"/>
        <w:tblLook w:val="04A0"/>
      </w:tblPr>
      <w:tblGrid>
        <w:gridCol w:w="1864"/>
        <w:gridCol w:w="7984"/>
      </w:tblGrid>
      <w:tr w:rsidR="00536CDB" w:rsidRPr="00536CDB" w:rsidTr="00ED47CA">
        <w:trPr>
          <w:cnfStyle w:val="100000000000"/>
          <w:tblHeader/>
        </w:trPr>
        <w:tc>
          <w:tcPr>
            <w:tcW w:w="1843" w:type="dxa"/>
          </w:tcPr>
          <w:p w:rsidR="00536CDB" w:rsidRPr="00ED47CA" w:rsidRDefault="00ED47CA" w:rsidP="00536CDB">
            <w:pPr>
              <w:pStyle w:val="Tabletext"/>
              <w:rPr>
                <w:sz w:val="18"/>
                <w:szCs w:val="18"/>
              </w:rPr>
            </w:pPr>
            <w:bookmarkStart w:id="43" w:name="TableHeader" w:colFirst="0" w:colLast="0"/>
            <w:r w:rsidRPr="00ED47CA">
              <w:rPr>
                <w:sz w:val="18"/>
                <w:szCs w:val="18"/>
              </w:rPr>
              <w:t>Policy</w:t>
            </w:r>
          </w:p>
        </w:tc>
        <w:tc>
          <w:tcPr>
            <w:tcW w:w="7893" w:type="dxa"/>
          </w:tcPr>
          <w:p w:rsidR="00536CDB" w:rsidRPr="00ED47CA" w:rsidRDefault="00ED47CA" w:rsidP="00536CDB">
            <w:pPr>
              <w:pStyle w:val="Tabletext"/>
              <w:rPr>
                <w:sz w:val="18"/>
                <w:szCs w:val="18"/>
              </w:rPr>
            </w:pPr>
            <w:r w:rsidRPr="00ED47CA">
              <w:rPr>
                <w:sz w:val="18"/>
                <w:szCs w:val="18"/>
              </w:rPr>
              <w:t>Provisions</w:t>
            </w:r>
          </w:p>
        </w:tc>
      </w:tr>
      <w:tr w:rsidR="00536CDB" w:rsidRPr="000C334B" w:rsidTr="007A4FC2">
        <w:trPr>
          <w:trHeight w:val="150"/>
        </w:trPr>
        <w:tc>
          <w:tcPr>
            <w:tcW w:w="0" w:type="dxa"/>
          </w:tcPr>
          <w:p w:rsidR="00536CDB" w:rsidRPr="00ED47CA" w:rsidRDefault="00ED47CA" w:rsidP="00DC5DF5">
            <w:pPr>
              <w:pStyle w:val="Tabletext"/>
              <w:rPr>
                <w:sz w:val="18"/>
                <w:szCs w:val="18"/>
              </w:rPr>
            </w:pPr>
            <w:bookmarkStart w:id="44" w:name="TableText" w:colFirst="0" w:colLast="0"/>
            <w:bookmarkEnd w:id="43"/>
            <w:r>
              <w:rPr>
                <w:sz w:val="18"/>
                <w:szCs w:val="18"/>
              </w:rPr>
              <w:t>Policy 1</w:t>
            </w:r>
            <w:r w:rsidR="002363E8">
              <w:rPr>
                <w:sz w:val="18"/>
                <w:szCs w:val="18"/>
              </w:rPr>
              <w:t xml:space="preserve">: </w:t>
            </w:r>
            <w:r>
              <w:rPr>
                <w:sz w:val="18"/>
                <w:szCs w:val="18"/>
              </w:rPr>
              <w:t>The Sustainable Growth Strategy</w:t>
            </w:r>
          </w:p>
        </w:tc>
        <w:tc>
          <w:tcPr>
            <w:tcW w:w="0" w:type="dxa"/>
          </w:tcPr>
          <w:p w:rsidR="00536CDB" w:rsidRDefault="00ED47CA" w:rsidP="00536CDB">
            <w:pPr>
              <w:pStyle w:val="Tabletext"/>
              <w:rPr>
                <w:sz w:val="18"/>
                <w:szCs w:val="18"/>
              </w:rPr>
            </w:pPr>
            <w:r>
              <w:rPr>
                <w:sz w:val="18"/>
                <w:szCs w:val="18"/>
              </w:rPr>
              <w:t>Sustainable development and inclusive growth are supported by delivery of the following between 2018 and 2038:</w:t>
            </w:r>
          </w:p>
          <w:p w:rsidR="00ED47CA" w:rsidRPr="00ED47CA" w:rsidRDefault="00ED47CA" w:rsidP="00ED47CA">
            <w:pPr>
              <w:pStyle w:val="TableListBullet"/>
            </w:pPr>
            <w:r w:rsidRPr="002B2827">
              <w:rPr>
                <w:sz w:val="18"/>
              </w:rPr>
              <w:t>To meet the need for around 40,550 new homes, sites are committed for a minimum of 44,340 new homes</w:t>
            </w:r>
            <w:r w:rsidR="002B2827" w:rsidRPr="002B2827">
              <w:rPr>
                <w:sz w:val="18"/>
              </w:rPr>
              <w:t>.</w:t>
            </w:r>
          </w:p>
        </w:tc>
      </w:tr>
      <w:tr w:rsidR="00536CDB" w:rsidRPr="000C334B" w:rsidTr="007A4FC2">
        <w:trPr>
          <w:trHeight w:val="150"/>
        </w:trPr>
        <w:tc>
          <w:tcPr>
            <w:tcW w:w="0" w:type="dxa"/>
          </w:tcPr>
          <w:p w:rsidR="00536CDB" w:rsidRPr="00ED47CA" w:rsidRDefault="002363E8" w:rsidP="00DC5DF5">
            <w:pPr>
              <w:pStyle w:val="Tabletext"/>
              <w:rPr>
                <w:sz w:val="18"/>
                <w:szCs w:val="18"/>
              </w:rPr>
            </w:pPr>
            <w:r>
              <w:rPr>
                <w:sz w:val="18"/>
                <w:szCs w:val="18"/>
              </w:rPr>
              <w:lastRenderedPageBreak/>
              <w:t>Policy 5: Homes</w:t>
            </w:r>
          </w:p>
        </w:tc>
        <w:tc>
          <w:tcPr>
            <w:tcW w:w="0" w:type="dxa"/>
          </w:tcPr>
          <w:p w:rsidR="00536CDB" w:rsidRDefault="002363E8" w:rsidP="00536CDB">
            <w:pPr>
              <w:pStyle w:val="Tabletext"/>
              <w:rPr>
                <w:sz w:val="18"/>
                <w:szCs w:val="18"/>
              </w:rPr>
            </w:pPr>
            <w:r>
              <w:rPr>
                <w:sz w:val="18"/>
                <w:szCs w:val="18"/>
              </w:rPr>
              <w:t>Residential proposals should addre</w:t>
            </w:r>
            <w:r w:rsidR="002B2827">
              <w:rPr>
                <w:sz w:val="18"/>
                <w:szCs w:val="18"/>
              </w:rPr>
              <w:t>s</w:t>
            </w:r>
            <w:r>
              <w:rPr>
                <w:sz w:val="18"/>
                <w:szCs w:val="18"/>
              </w:rPr>
              <w:t>s the need for homes for all sectors of the community having regard to the latest housing evidence, including a variety of homes in terms of tenure and cost. New homes should provide for good quality of life in mixed and inclusive communities and major development proposals should provide adaptable homes to meet varied and changing needs.</w:t>
            </w:r>
          </w:p>
          <w:p w:rsidR="002363E8" w:rsidRDefault="00676FE8" w:rsidP="00536CDB">
            <w:pPr>
              <w:pStyle w:val="Tabletext"/>
              <w:rPr>
                <w:sz w:val="18"/>
                <w:szCs w:val="18"/>
              </w:rPr>
            </w:pPr>
            <w:r>
              <w:rPr>
                <w:sz w:val="18"/>
                <w:szCs w:val="18"/>
              </w:rPr>
              <w:t>Affordable</w:t>
            </w:r>
            <w:r w:rsidR="002363E8">
              <w:rPr>
                <w:sz w:val="18"/>
                <w:szCs w:val="18"/>
              </w:rPr>
              <w:t xml:space="preserve"> Housing:</w:t>
            </w:r>
          </w:p>
          <w:p w:rsidR="002363E8" w:rsidRDefault="002363E8" w:rsidP="00536CDB">
            <w:pPr>
              <w:pStyle w:val="Tabletext"/>
              <w:rPr>
                <w:sz w:val="18"/>
                <w:szCs w:val="18"/>
              </w:rPr>
            </w:pPr>
            <w:r>
              <w:rPr>
                <w:sz w:val="18"/>
                <w:szCs w:val="18"/>
              </w:rPr>
              <w:t>Major residential development proposals and purpose-built student accommodation will prov</w:t>
            </w:r>
            <w:r w:rsidR="00676FE8">
              <w:rPr>
                <w:sz w:val="18"/>
                <w:szCs w:val="18"/>
              </w:rPr>
              <w:t>i</w:t>
            </w:r>
            <w:r>
              <w:rPr>
                <w:sz w:val="18"/>
                <w:szCs w:val="18"/>
              </w:rPr>
              <w:t>de:</w:t>
            </w:r>
          </w:p>
          <w:p w:rsidR="002363E8" w:rsidRPr="00DA3D0E" w:rsidRDefault="002363E8" w:rsidP="002363E8">
            <w:pPr>
              <w:pStyle w:val="TableListBullet"/>
              <w:rPr>
                <w:sz w:val="18"/>
              </w:rPr>
            </w:pPr>
            <w:r w:rsidRPr="00DA3D0E">
              <w:rPr>
                <w:sz w:val="18"/>
              </w:rPr>
              <w:t>At least 33% affordable housing on-site across the plan area, except in Norwich City Centre where the requirement is at least 28%, unless the site is allocated in this plan or a Neighbourhood Plan for a different percentage of affordable housing;</w:t>
            </w:r>
          </w:p>
          <w:p w:rsidR="002363E8" w:rsidRPr="00DA3D0E" w:rsidRDefault="002363E8" w:rsidP="002363E8">
            <w:pPr>
              <w:pStyle w:val="TableListBullet"/>
              <w:rPr>
                <w:sz w:val="18"/>
              </w:rPr>
            </w:pPr>
            <w:r w:rsidRPr="00DA3D0E">
              <w:rPr>
                <w:sz w:val="18"/>
              </w:rPr>
              <w:t xml:space="preserve">Affordable </w:t>
            </w:r>
            <w:r w:rsidR="00676FE8" w:rsidRPr="00DA3D0E">
              <w:rPr>
                <w:sz w:val="18"/>
              </w:rPr>
              <w:t>housing on-site except where exceptional circumstances justify off-site provision;</w:t>
            </w:r>
          </w:p>
          <w:p w:rsidR="00676FE8" w:rsidRPr="00DA3D0E" w:rsidRDefault="00676FE8" w:rsidP="002363E8">
            <w:pPr>
              <w:pStyle w:val="TableListBullet"/>
            </w:pPr>
            <w:r w:rsidRPr="00DA3D0E">
              <w:rPr>
                <w:sz w:val="18"/>
              </w:rPr>
              <w:t>A mix of affordable housing sizes, types, and tenures in agreement with the local authority, taking account of the most-up-to-date local evidence of housing need. This will include 10% of affordable homes being available for affordable home ownership where this meets local needs;</w:t>
            </w:r>
          </w:p>
          <w:p w:rsidR="00DA3D0E" w:rsidRPr="00ED47CA" w:rsidRDefault="00DA3D0E" w:rsidP="002363E8">
            <w:pPr>
              <w:pStyle w:val="TableListBullet"/>
            </w:pPr>
            <w:r>
              <w:rPr>
                <w:sz w:val="18"/>
              </w:rPr>
              <w:t>Affordable housing of at least equivalent to the market homes on-site.</w:t>
            </w:r>
          </w:p>
        </w:tc>
      </w:tr>
      <w:tr w:rsidR="00DA3D0E" w:rsidRPr="000C334B" w:rsidTr="007A4FC2">
        <w:trPr>
          <w:trHeight w:val="150"/>
        </w:trPr>
        <w:tc>
          <w:tcPr>
            <w:tcW w:w="0" w:type="dxa"/>
          </w:tcPr>
          <w:p w:rsidR="00DA3D0E" w:rsidRDefault="00DA3D0E" w:rsidP="00DC5DF5">
            <w:pPr>
              <w:pStyle w:val="Tabletext"/>
              <w:rPr>
                <w:sz w:val="18"/>
                <w:szCs w:val="18"/>
              </w:rPr>
            </w:pPr>
            <w:r>
              <w:rPr>
                <w:sz w:val="18"/>
                <w:szCs w:val="18"/>
              </w:rPr>
              <w:t>Policy 7.4: Village Clusters</w:t>
            </w:r>
          </w:p>
        </w:tc>
        <w:tc>
          <w:tcPr>
            <w:tcW w:w="0" w:type="dxa"/>
          </w:tcPr>
          <w:p w:rsidR="00C87AF2" w:rsidRDefault="00C87AF2" w:rsidP="00536CDB">
            <w:pPr>
              <w:pStyle w:val="Tabletext"/>
              <w:rPr>
                <w:sz w:val="18"/>
                <w:szCs w:val="18"/>
              </w:rPr>
            </w:pPr>
            <w:r>
              <w:rPr>
                <w:sz w:val="18"/>
                <w:szCs w:val="18"/>
              </w:rPr>
              <w:t>Reedham is described in the new Local Plan as a Village Cluster. Village clusters are based on primary school catchments, which provide a proxy for social sustainability. Locating this level of growth in village clusters aims to promote social sustainability by supporting rural life and services. The provision of several relatively small allocation sites as required by the NPPF means this approach also has the benefit of supporting small-scale builders, providing choice for the market and helping to ensure the delivering of housing in popular village locations. The policy also aims to provide a range of sizes and tenures of new homes to meet needs in village clusters.</w:t>
            </w:r>
          </w:p>
          <w:p w:rsidR="00DA3D0E" w:rsidRDefault="00C87AF2" w:rsidP="00536CDB">
            <w:pPr>
              <w:pStyle w:val="Tabletext"/>
              <w:rPr>
                <w:sz w:val="18"/>
                <w:szCs w:val="18"/>
              </w:rPr>
            </w:pPr>
            <w:r>
              <w:rPr>
                <w:sz w:val="18"/>
                <w:szCs w:val="18"/>
              </w:rPr>
              <w:t>Policy 7.4 sta</w:t>
            </w:r>
            <w:r w:rsidR="00B41FC3">
              <w:rPr>
                <w:sz w:val="18"/>
                <w:szCs w:val="18"/>
              </w:rPr>
              <w:t>t</w:t>
            </w:r>
            <w:r>
              <w:rPr>
                <w:sz w:val="18"/>
                <w:szCs w:val="18"/>
              </w:rPr>
              <w:t>es that to</w:t>
            </w:r>
            <w:r w:rsidR="00841518">
              <w:rPr>
                <w:sz w:val="18"/>
                <w:szCs w:val="18"/>
              </w:rPr>
              <w:t xml:space="preserve"> </w:t>
            </w:r>
            <w:r w:rsidR="00DA3D0E">
              <w:rPr>
                <w:sz w:val="18"/>
                <w:szCs w:val="18"/>
              </w:rPr>
              <w:t>provide a minimum of 4,024 homes as set out in policy 1 and to support village services, provide choice for the market and promote delivery of a variety of housing types and tenures, housing development will be supported in principle on a range of sites within clusters.</w:t>
            </w:r>
          </w:p>
          <w:p w:rsidR="00B41FC3" w:rsidRDefault="00B41FC3" w:rsidP="00536CDB">
            <w:pPr>
              <w:pStyle w:val="Tabletext"/>
              <w:rPr>
                <w:sz w:val="18"/>
                <w:szCs w:val="18"/>
              </w:rPr>
            </w:pPr>
            <w:r>
              <w:rPr>
                <w:sz w:val="18"/>
                <w:szCs w:val="18"/>
              </w:rPr>
              <w:t>Additional sites may be provided in village clusters by:</w:t>
            </w:r>
          </w:p>
          <w:p w:rsidR="00B41FC3" w:rsidRDefault="00B41FC3" w:rsidP="00536CDB">
            <w:pPr>
              <w:pStyle w:val="Tabletext"/>
              <w:rPr>
                <w:sz w:val="18"/>
                <w:szCs w:val="18"/>
              </w:rPr>
            </w:pPr>
            <w:r>
              <w:rPr>
                <w:sz w:val="18"/>
                <w:szCs w:val="18"/>
              </w:rPr>
              <w:t>1. Infill development within settlement boundaries;</w:t>
            </w:r>
          </w:p>
          <w:p w:rsidR="00B41FC3" w:rsidRDefault="00B41FC3" w:rsidP="00536CDB">
            <w:pPr>
              <w:pStyle w:val="Tabletext"/>
              <w:rPr>
                <w:sz w:val="18"/>
                <w:szCs w:val="18"/>
              </w:rPr>
            </w:pPr>
            <w:r>
              <w:rPr>
                <w:sz w:val="18"/>
                <w:szCs w:val="18"/>
              </w:rPr>
              <w:t>2. Affordable housing led development, which may include an element of market housing if necessary, for viability, up to a maximum of 15 dwellings in total. These sites should be adjacent or well related to settlement boundaries with good access to services, including safe routes to schools, subject to other policies of the local plan.</w:t>
            </w:r>
          </w:p>
        </w:tc>
      </w:tr>
    </w:tbl>
    <w:bookmarkEnd w:id="44"/>
    <w:p w:rsidR="00DA3D0E" w:rsidRDefault="00DA3D0E" w:rsidP="00DA3D0E">
      <w:pPr>
        <w:pStyle w:val="Source"/>
        <w:rPr>
          <w:sz w:val="18"/>
          <w:szCs w:val="18"/>
        </w:rPr>
      </w:pPr>
      <w:r w:rsidRPr="005C20C8">
        <w:rPr>
          <w:sz w:val="18"/>
          <w:szCs w:val="18"/>
        </w:rPr>
        <w:t xml:space="preserve">Source: Broadland District Council </w:t>
      </w:r>
    </w:p>
    <w:p w:rsidR="00DA3D0E" w:rsidRPr="00DA3D0E" w:rsidRDefault="00DA3D0E" w:rsidP="00DA3D0E">
      <w:pPr>
        <w:pStyle w:val="Heading3"/>
      </w:pPr>
      <w:bookmarkStart w:id="45" w:name="_Toc33015840"/>
      <w:r>
        <w:t>Additional i</w:t>
      </w:r>
      <w:r w:rsidR="003B15DA">
        <w:t>nformation from</w:t>
      </w:r>
      <w:r w:rsidR="00BC3D37">
        <w:t xml:space="preserve"> </w:t>
      </w:r>
      <w:r w:rsidR="00A323A5">
        <w:t xml:space="preserve">the new </w:t>
      </w:r>
      <w:r w:rsidR="00BC3D37">
        <w:t>Greater Norwich</w:t>
      </w:r>
      <w:r w:rsidR="003B15DA">
        <w:t xml:space="preserve"> Local Plan</w:t>
      </w:r>
      <w:r>
        <w:t xml:space="preserve"> 2020</w:t>
      </w:r>
      <w:r w:rsidR="00DB4D40">
        <w:t xml:space="preserve"> relating to Reedham’s housing need</w:t>
      </w:r>
      <w:bookmarkEnd w:id="45"/>
    </w:p>
    <w:p w:rsidR="003B15DA" w:rsidRPr="003B15DA" w:rsidRDefault="003B15DA" w:rsidP="003B15DA">
      <w:pPr>
        <w:pStyle w:val="ListNumber"/>
      </w:pPr>
      <w:r>
        <w:rPr>
          <w:sz w:val="18"/>
          <w:szCs w:val="18"/>
        </w:rPr>
        <w:t>It is considered that as well as existing allocations and windfall development, approximately 50-60 new homes are appropriate for Reedham</w:t>
      </w:r>
      <w:r w:rsidR="00363A49">
        <w:rPr>
          <w:sz w:val="18"/>
          <w:szCs w:val="18"/>
        </w:rPr>
        <w:t xml:space="preserve">, but that the overall expected level of delivery is 68-88 (40-60 Local Plan allocations plus 28 existing </w:t>
      </w:r>
      <w:r w:rsidR="008006DC">
        <w:rPr>
          <w:sz w:val="18"/>
          <w:szCs w:val="18"/>
        </w:rPr>
        <w:t>commitments</w:t>
      </w:r>
      <w:r w:rsidR="00363A49">
        <w:rPr>
          <w:sz w:val="18"/>
          <w:szCs w:val="18"/>
        </w:rPr>
        <w:t>)</w:t>
      </w:r>
      <w:r>
        <w:rPr>
          <w:sz w:val="18"/>
          <w:szCs w:val="18"/>
        </w:rPr>
        <w:t xml:space="preserve">. </w:t>
      </w:r>
    </w:p>
    <w:p w:rsidR="003B15DA" w:rsidRPr="00F65650" w:rsidRDefault="003B15DA" w:rsidP="003B15DA">
      <w:pPr>
        <w:pStyle w:val="ListNumber"/>
      </w:pPr>
      <w:r>
        <w:rPr>
          <w:sz w:val="18"/>
          <w:szCs w:val="18"/>
        </w:rPr>
        <w:t xml:space="preserve">Two sites are identified as preferred options, providing for between 40-60 new homes in the cluster. There are no carried forward residential allocations but there is a total of 28 additional dwellings with planning permission on small sites. This gives a total deliverable housing commitment for the cluster of between 68-88 homes between 2018-2038. </w:t>
      </w:r>
      <w:r w:rsidR="00363A49">
        <w:rPr>
          <w:sz w:val="18"/>
          <w:szCs w:val="18"/>
        </w:rPr>
        <w:t>The above information shows that Reedham has a target range of 50-60 dwellings, but that 68-88 are expected.</w:t>
      </w:r>
    </w:p>
    <w:p w:rsidR="00562EE0" w:rsidRPr="00762273" w:rsidRDefault="00562EE0" w:rsidP="00762273">
      <w:pPr>
        <w:pStyle w:val="ListNumber"/>
      </w:pPr>
      <w:r>
        <w:rPr>
          <w:sz w:val="18"/>
          <w:szCs w:val="18"/>
        </w:rPr>
        <w:t xml:space="preserve">All new and carried forward allocations are expected to address standard requirements associated with development. These vary from place to place, but are likely to include mitigations for flood risk (as well as SUDs), highway improvements, safeguarding of mineral resources, land remediation, measures to protect the environment, biodiversity, and the landscape intrusion. </w:t>
      </w:r>
    </w:p>
    <w:p w:rsidR="00762273" w:rsidRDefault="00762273" w:rsidP="00762273">
      <w:pPr>
        <w:pStyle w:val="ListNumber"/>
        <w:numPr>
          <w:ilvl w:val="0"/>
          <w:numId w:val="0"/>
        </w:numPr>
        <w:ind w:left="425"/>
        <w:rPr>
          <w:sz w:val="18"/>
          <w:szCs w:val="18"/>
        </w:rPr>
      </w:pPr>
    </w:p>
    <w:p w:rsidR="00762273" w:rsidRDefault="00762273" w:rsidP="00762273">
      <w:pPr>
        <w:pStyle w:val="ListNumber"/>
        <w:numPr>
          <w:ilvl w:val="0"/>
          <w:numId w:val="0"/>
        </w:numPr>
        <w:ind w:left="425"/>
        <w:rPr>
          <w:sz w:val="18"/>
          <w:szCs w:val="18"/>
        </w:rPr>
      </w:pPr>
    </w:p>
    <w:p w:rsidR="00762273" w:rsidRDefault="00762273" w:rsidP="00762273">
      <w:pPr>
        <w:pStyle w:val="ListNumber"/>
        <w:numPr>
          <w:ilvl w:val="0"/>
          <w:numId w:val="0"/>
        </w:numPr>
        <w:ind w:left="425"/>
        <w:rPr>
          <w:sz w:val="18"/>
          <w:szCs w:val="18"/>
        </w:rPr>
      </w:pPr>
    </w:p>
    <w:p w:rsidR="00762273" w:rsidRDefault="00762273" w:rsidP="00762273">
      <w:pPr>
        <w:pStyle w:val="ListNumber"/>
        <w:numPr>
          <w:ilvl w:val="0"/>
          <w:numId w:val="0"/>
        </w:numPr>
        <w:ind w:left="425"/>
        <w:rPr>
          <w:sz w:val="18"/>
          <w:szCs w:val="18"/>
        </w:rPr>
      </w:pPr>
    </w:p>
    <w:p w:rsidR="00762273" w:rsidRDefault="00762273" w:rsidP="00A12BD3">
      <w:pPr>
        <w:pStyle w:val="ListNumber"/>
        <w:numPr>
          <w:ilvl w:val="0"/>
          <w:numId w:val="0"/>
        </w:numPr>
      </w:pPr>
    </w:p>
    <w:p w:rsidR="00762273" w:rsidRDefault="00762273" w:rsidP="00DA3D0E">
      <w:pPr>
        <w:pStyle w:val="Heading2"/>
      </w:pPr>
      <w:bookmarkStart w:id="46" w:name="_Toc33015841"/>
      <w:r w:rsidRPr="00762273">
        <w:lastRenderedPageBreak/>
        <w:t xml:space="preserve">Reedham </w:t>
      </w:r>
      <w:r>
        <w:t>S</w:t>
      </w:r>
      <w:r w:rsidRPr="00762273">
        <w:t xml:space="preserve">ettlement </w:t>
      </w:r>
      <w:r>
        <w:t>M</w:t>
      </w:r>
      <w:r w:rsidRPr="00762273">
        <w:t>ap</w:t>
      </w:r>
      <w:r>
        <w:rPr>
          <w:rStyle w:val="FootnoteReference"/>
          <w:sz w:val="18"/>
          <w:szCs w:val="18"/>
        </w:rPr>
        <w:footnoteReference w:id="14"/>
      </w:r>
      <w:r w:rsidRPr="00762273">
        <w:t>:</w:t>
      </w:r>
      <w:bookmarkEnd w:id="46"/>
      <w:r w:rsidRPr="00762273">
        <w:t xml:space="preserve"> </w:t>
      </w:r>
    </w:p>
    <w:p w:rsidR="00762273" w:rsidRDefault="006927CA" w:rsidP="00762273">
      <w:pPr>
        <w:pStyle w:val="Caption"/>
      </w:pPr>
      <w:r>
        <w:rPr>
          <w:noProof/>
        </w:rPr>
        <w:drawing>
          <wp:anchor distT="0" distB="0" distL="114300" distR="114300" simplePos="0" relativeHeight="251668480" behindDoc="0" locked="0" layoutInCell="1" allowOverlap="1">
            <wp:simplePos x="0" y="0"/>
            <wp:positionH relativeFrom="margin">
              <wp:posOffset>57150</wp:posOffset>
            </wp:positionH>
            <wp:positionV relativeFrom="paragraph">
              <wp:posOffset>314325</wp:posOffset>
            </wp:positionV>
            <wp:extent cx="5419725" cy="3825240"/>
            <wp:effectExtent l="0" t="0" r="9525" b="381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419725" cy="3825240"/>
                    </a:xfrm>
                    <a:prstGeom prst="rect">
                      <a:avLst/>
                    </a:prstGeom>
                  </pic:spPr>
                </pic:pic>
              </a:graphicData>
            </a:graphic>
          </wp:anchor>
        </w:drawing>
      </w:r>
      <w:r w:rsidR="00762273">
        <w:t>Figure 2-</w:t>
      </w:r>
      <w:r w:rsidR="002328EB">
        <w:t>2</w:t>
      </w:r>
      <w:r w:rsidR="00762273">
        <w:t>: Reedham Settlement Map</w:t>
      </w:r>
    </w:p>
    <w:p w:rsidR="00762273" w:rsidRDefault="00762273" w:rsidP="00762273">
      <w:pPr>
        <w:pStyle w:val="ListNumber"/>
        <w:numPr>
          <w:ilvl w:val="0"/>
          <w:numId w:val="0"/>
        </w:numPr>
        <w:ind w:left="425" w:hanging="425"/>
        <w:rPr>
          <w:sz w:val="18"/>
          <w:szCs w:val="18"/>
        </w:rPr>
      </w:pPr>
    </w:p>
    <w:p w:rsidR="00902501" w:rsidRDefault="003155DD" w:rsidP="00A323A5">
      <w:pPr>
        <w:pStyle w:val="Caption"/>
        <w:ind w:left="0"/>
      </w:pPr>
      <w:r w:rsidRPr="003155DD">
        <w:t>Table 2-</w:t>
      </w:r>
      <w:r w:rsidR="00DA3D0E">
        <w:t>8</w:t>
      </w:r>
      <w:r w:rsidRPr="003155DD">
        <w:t xml:space="preserve"> New allocations proposed </w:t>
      </w:r>
    </w:p>
    <w:tbl>
      <w:tblPr>
        <w:tblStyle w:val="AECOMtable"/>
        <w:tblW w:w="5000" w:type="pct"/>
        <w:tblLayout w:type="fixed"/>
        <w:tblLook w:val="04A0"/>
      </w:tblPr>
      <w:tblGrid>
        <w:gridCol w:w="1434"/>
        <w:gridCol w:w="3154"/>
        <w:gridCol w:w="5359"/>
      </w:tblGrid>
      <w:tr w:rsidR="00902501" w:rsidRPr="00902501" w:rsidTr="00902501">
        <w:trPr>
          <w:cnfStyle w:val="100000000000"/>
          <w:tblHeader/>
        </w:trPr>
        <w:tc>
          <w:tcPr>
            <w:tcW w:w="1418" w:type="dxa"/>
          </w:tcPr>
          <w:p w:rsidR="00902501" w:rsidRPr="00DA3D0E" w:rsidRDefault="00902501" w:rsidP="00902501">
            <w:pPr>
              <w:pStyle w:val="Tabletext"/>
              <w:rPr>
                <w:sz w:val="18"/>
              </w:rPr>
            </w:pPr>
            <w:r w:rsidRPr="00DA3D0E">
              <w:rPr>
                <w:sz w:val="18"/>
              </w:rPr>
              <w:t>Policy</w:t>
            </w:r>
          </w:p>
        </w:tc>
        <w:tc>
          <w:tcPr>
            <w:tcW w:w="3118" w:type="dxa"/>
          </w:tcPr>
          <w:p w:rsidR="00902501" w:rsidRPr="00DA3D0E" w:rsidRDefault="00902501" w:rsidP="00902501">
            <w:pPr>
              <w:pStyle w:val="Tabletext"/>
              <w:rPr>
                <w:sz w:val="18"/>
              </w:rPr>
            </w:pPr>
            <w:r w:rsidRPr="00DA3D0E">
              <w:rPr>
                <w:sz w:val="18"/>
              </w:rPr>
              <w:t>Address</w:t>
            </w:r>
          </w:p>
        </w:tc>
        <w:tc>
          <w:tcPr>
            <w:tcW w:w="5298" w:type="dxa"/>
          </w:tcPr>
          <w:p w:rsidR="00902501" w:rsidRPr="00DA3D0E" w:rsidRDefault="00902501" w:rsidP="00902501">
            <w:pPr>
              <w:pStyle w:val="Tabletext"/>
              <w:rPr>
                <w:sz w:val="18"/>
              </w:rPr>
            </w:pPr>
            <w:r w:rsidRPr="00DA3D0E">
              <w:rPr>
                <w:sz w:val="18"/>
              </w:rPr>
              <w:t>Description of Site</w:t>
            </w:r>
          </w:p>
        </w:tc>
      </w:tr>
      <w:tr w:rsidR="00902501" w:rsidRPr="000C334B" w:rsidTr="00902501">
        <w:trPr>
          <w:trHeight w:val="150"/>
        </w:trPr>
        <w:tc>
          <w:tcPr>
            <w:tcW w:w="1418" w:type="dxa"/>
          </w:tcPr>
          <w:p w:rsidR="00902501" w:rsidRPr="00DA3D0E" w:rsidRDefault="00902501" w:rsidP="00902501">
            <w:pPr>
              <w:pStyle w:val="Tabletext"/>
              <w:rPr>
                <w:sz w:val="18"/>
              </w:rPr>
            </w:pPr>
            <w:r w:rsidRPr="00DA3D0E">
              <w:rPr>
                <w:sz w:val="18"/>
              </w:rPr>
              <w:t>GNLP1001</w:t>
            </w:r>
          </w:p>
        </w:tc>
        <w:tc>
          <w:tcPr>
            <w:tcW w:w="3118" w:type="dxa"/>
          </w:tcPr>
          <w:p w:rsidR="00902501" w:rsidRPr="00DA3D0E" w:rsidRDefault="00902501" w:rsidP="00902501">
            <w:pPr>
              <w:pStyle w:val="Tabletext"/>
              <w:rPr>
                <w:sz w:val="18"/>
              </w:rPr>
            </w:pPr>
            <w:r w:rsidRPr="00DA3D0E">
              <w:rPr>
                <w:sz w:val="18"/>
              </w:rPr>
              <w:t>Land to East of Station Road, Reedham (approx. 1.10Ha) is allocated for residential development. The site is likely to accommodate 20-30 homes, 33% of which will be affordable.</w:t>
            </w:r>
          </w:p>
        </w:tc>
        <w:tc>
          <w:tcPr>
            <w:tcW w:w="5298" w:type="dxa"/>
          </w:tcPr>
          <w:p w:rsidR="00902501" w:rsidRPr="00DA3D0E" w:rsidRDefault="00902501" w:rsidP="00902501">
            <w:pPr>
              <w:pStyle w:val="Tabletext"/>
              <w:rPr>
                <w:sz w:val="18"/>
              </w:rPr>
            </w:pPr>
            <w:r w:rsidRPr="00DA3D0E">
              <w:rPr>
                <w:sz w:val="18"/>
              </w:rPr>
              <w:t>More homes may be accommodated, subject to an acceptable design and layout as well as infrastructure constraints.</w:t>
            </w:r>
          </w:p>
          <w:p w:rsidR="00902501" w:rsidRPr="00DA3D0E" w:rsidRDefault="00902501" w:rsidP="00902501">
            <w:pPr>
              <w:pStyle w:val="Tabletext"/>
              <w:rPr>
                <w:sz w:val="18"/>
              </w:rPr>
            </w:pPr>
            <w:r w:rsidRPr="00DA3D0E">
              <w:rPr>
                <w:sz w:val="18"/>
              </w:rPr>
              <w:t>The development will be expected to address the following specific matters:</w:t>
            </w:r>
          </w:p>
          <w:p w:rsidR="00902501" w:rsidRPr="00DA3D0E" w:rsidRDefault="00902501" w:rsidP="00902501">
            <w:pPr>
              <w:pStyle w:val="TableListBullet"/>
              <w:rPr>
                <w:sz w:val="18"/>
              </w:rPr>
            </w:pPr>
            <w:r w:rsidRPr="00DA3D0E">
              <w:rPr>
                <w:sz w:val="18"/>
              </w:rPr>
              <w:t>Pedestrian and vehicular access to be via Barn Owl Close.</w:t>
            </w:r>
          </w:p>
          <w:p w:rsidR="00902501" w:rsidRPr="00DA3D0E" w:rsidRDefault="00902501" w:rsidP="00902501">
            <w:pPr>
              <w:pStyle w:val="TableListBullet"/>
              <w:rPr>
                <w:sz w:val="18"/>
              </w:rPr>
            </w:pPr>
            <w:r w:rsidRPr="00DA3D0E">
              <w:rPr>
                <w:sz w:val="18"/>
              </w:rPr>
              <w:t>Respect, protect and if appropriate enhance the area of Tree Preservation Order protected trees on the northern side of development.</w:t>
            </w:r>
          </w:p>
          <w:p w:rsidR="00CE7A01" w:rsidRPr="00DA3D0E" w:rsidRDefault="00CE7A01" w:rsidP="00902501">
            <w:pPr>
              <w:pStyle w:val="TableListBullet"/>
              <w:rPr>
                <w:sz w:val="18"/>
              </w:rPr>
            </w:pPr>
            <w:r w:rsidRPr="00DA3D0E">
              <w:rPr>
                <w:sz w:val="18"/>
              </w:rPr>
              <w:t>Appropriate enhancement and links to the PROW that is to the east of the site noting that this could provide a traffic free route for part of the journey to the school.</w:t>
            </w:r>
          </w:p>
          <w:p w:rsidR="00CE7A01" w:rsidRPr="00DA3D0E" w:rsidRDefault="00CE7A01" w:rsidP="00902501">
            <w:pPr>
              <w:pStyle w:val="TableListBullet"/>
              <w:rPr>
                <w:sz w:val="18"/>
              </w:rPr>
            </w:pPr>
            <w:r w:rsidRPr="00DA3D0E">
              <w:rPr>
                <w:sz w:val="18"/>
              </w:rPr>
              <w:t xml:space="preserve">Potential impact of the scheme on the Broads Authority Executive Area to be considered and addressed as appropriate. </w:t>
            </w:r>
          </w:p>
          <w:p w:rsidR="00CE7A01" w:rsidRPr="00DA3D0E" w:rsidRDefault="00CE7A01" w:rsidP="00902501">
            <w:pPr>
              <w:pStyle w:val="TableListBullet"/>
              <w:rPr>
                <w:sz w:val="18"/>
              </w:rPr>
            </w:pPr>
            <w:r w:rsidRPr="00DA3D0E">
              <w:rPr>
                <w:sz w:val="18"/>
              </w:rPr>
              <w:t xml:space="preserve">The trees/hedgerows surrounding the site will be protected, enhanced and incorporated into the scheme. </w:t>
            </w:r>
          </w:p>
          <w:p w:rsidR="00AC2860" w:rsidRPr="00DA3D0E" w:rsidRDefault="00AC2860" w:rsidP="00902501">
            <w:pPr>
              <w:pStyle w:val="TableListBullet"/>
              <w:rPr>
                <w:sz w:val="18"/>
              </w:rPr>
            </w:pPr>
            <w:r w:rsidRPr="00DA3D0E">
              <w:rPr>
                <w:sz w:val="18"/>
              </w:rPr>
              <w:t xml:space="preserve">(This site is preferred for allocation as it has minimal constraints. However, it is accepted that it is not possible to provide off-carriageway pedestrian footway for the whole route to Reedham Primary School. The site can be allocated subject to vehicular access via adjacent existing Broadland Local Plan allocation RED1 and footpath connection with </w:t>
            </w:r>
            <w:r w:rsidRPr="00DA3D0E">
              <w:rPr>
                <w:sz w:val="18"/>
              </w:rPr>
              <w:lastRenderedPageBreak/>
              <w:t>Public Rights of Way at the north and east boundaries of the site.</w:t>
            </w:r>
          </w:p>
        </w:tc>
      </w:tr>
      <w:tr w:rsidR="00902501" w:rsidRPr="000C334B" w:rsidTr="00902501">
        <w:trPr>
          <w:trHeight w:val="150"/>
        </w:trPr>
        <w:tc>
          <w:tcPr>
            <w:tcW w:w="1418" w:type="dxa"/>
          </w:tcPr>
          <w:p w:rsidR="00902501" w:rsidRPr="00DA3D0E" w:rsidRDefault="00AC2860" w:rsidP="00902501">
            <w:pPr>
              <w:pStyle w:val="Tabletext"/>
              <w:rPr>
                <w:sz w:val="18"/>
              </w:rPr>
            </w:pPr>
            <w:r w:rsidRPr="00DA3D0E">
              <w:rPr>
                <w:sz w:val="18"/>
              </w:rPr>
              <w:lastRenderedPageBreak/>
              <w:t>GNLP3003</w:t>
            </w:r>
          </w:p>
        </w:tc>
        <w:tc>
          <w:tcPr>
            <w:tcW w:w="3118" w:type="dxa"/>
          </w:tcPr>
          <w:p w:rsidR="00902501" w:rsidRPr="00DA3D0E" w:rsidRDefault="00AC2860" w:rsidP="00902501">
            <w:pPr>
              <w:pStyle w:val="Tabletext"/>
              <w:rPr>
                <w:sz w:val="18"/>
              </w:rPr>
            </w:pPr>
            <w:r w:rsidRPr="00DA3D0E">
              <w:rPr>
                <w:sz w:val="18"/>
              </w:rPr>
              <w:t>Mill Road, Reedham (approx. 1.30Ha) is allocated for residential development. The site is likely to accommodate 20-30 homes, 33% of which will be affordable.</w:t>
            </w:r>
          </w:p>
        </w:tc>
        <w:tc>
          <w:tcPr>
            <w:tcW w:w="5298" w:type="dxa"/>
          </w:tcPr>
          <w:p w:rsidR="00902501" w:rsidRPr="00DA3D0E" w:rsidRDefault="00AC2860" w:rsidP="00902501">
            <w:pPr>
              <w:pStyle w:val="Tabletext"/>
              <w:rPr>
                <w:sz w:val="18"/>
              </w:rPr>
            </w:pPr>
            <w:r w:rsidRPr="00DA3D0E">
              <w:rPr>
                <w:sz w:val="18"/>
              </w:rPr>
              <w:t>More homes may be accommodated, subject to an acceptable design and layout as well as infrastructure constraints</w:t>
            </w:r>
            <w:r w:rsidR="00D96326" w:rsidRPr="00DA3D0E">
              <w:rPr>
                <w:sz w:val="18"/>
              </w:rPr>
              <w:t>.</w:t>
            </w:r>
          </w:p>
          <w:p w:rsidR="00391FDF" w:rsidRPr="00DA3D0E" w:rsidRDefault="00D96326" w:rsidP="00391FDF">
            <w:pPr>
              <w:pStyle w:val="Tabletext"/>
              <w:rPr>
                <w:sz w:val="18"/>
              </w:rPr>
            </w:pPr>
            <w:r w:rsidRPr="00DA3D0E">
              <w:rPr>
                <w:sz w:val="18"/>
              </w:rPr>
              <w:t>The development</w:t>
            </w:r>
            <w:r w:rsidR="00391FDF" w:rsidRPr="00DA3D0E">
              <w:rPr>
                <w:sz w:val="18"/>
              </w:rPr>
              <w:t xml:space="preserve"> will be expected to address the following specific matters:</w:t>
            </w:r>
          </w:p>
          <w:p w:rsidR="00391FDF" w:rsidRPr="00DA3D0E" w:rsidRDefault="00391FDF" w:rsidP="00391FDF">
            <w:pPr>
              <w:pStyle w:val="TableListBullet"/>
              <w:rPr>
                <w:sz w:val="18"/>
              </w:rPr>
            </w:pPr>
            <w:r w:rsidRPr="00DA3D0E">
              <w:rPr>
                <w:sz w:val="18"/>
              </w:rPr>
              <w:t>Vehicle access via Mill Road with pedestrian only access at Holly Farm Road;</w:t>
            </w:r>
          </w:p>
          <w:p w:rsidR="00391FDF" w:rsidRPr="00DA3D0E" w:rsidRDefault="00391FDF" w:rsidP="00391FDF">
            <w:pPr>
              <w:pStyle w:val="TableListBullet"/>
              <w:rPr>
                <w:sz w:val="18"/>
              </w:rPr>
            </w:pPr>
            <w:r w:rsidRPr="00DA3D0E">
              <w:rPr>
                <w:sz w:val="18"/>
              </w:rPr>
              <w:t>Visibility for access is restricted and will need further investigation as this may require use of third-party land in order to be achieved;</w:t>
            </w:r>
          </w:p>
          <w:p w:rsidR="00391FDF" w:rsidRPr="00DA3D0E" w:rsidRDefault="00391FDF" w:rsidP="00391FDF">
            <w:pPr>
              <w:pStyle w:val="TableListBullet"/>
              <w:rPr>
                <w:sz w:val="18"/>
              </w:rPr>
            </w:pPr>
            <w:r w:rsidRPr="00DA3D0E">
              <w:rPr>
                <w:sz w:val="18"/>
              </w:rPr>
              <w:t>Consideration of setting of non-designated heritage asset</w:t>
            </w:r>
          </w:p>
          <w:p w:rsidR="008E0F0E" w:rsidRPr="00DA3D0E" w:rsidRDefault="008E0F0E" w:rsidP="00391FDF">
            <w:pPr>
              <w:pStyle w:val="TableListBullet"/>
              <w:rPr>
                <w:sz w:val="18"/>
              </w:rPr>
            </w:pPr>
            <w:r w:rsidRPr="00DA3D0E">
              <w:rPr>
                <w:sz w:val="18"/>
              </w:rPr>
              <w:t>(Part of this site is preferred for allocation due to its immediate proximity to Reedham Primary School and minimal other constraints, however, it is accepted that it is not possible to provide an off-carriageway pedestrian footway to the school. The site can be allocated subject to vehicular access via Mill Road and pedestrian only access at Holly Farm Road. The vehicular access point at Mill Road will require visibility over the frontage of ‘The Brambles’ to the north which may require 3</w:t>
            </w:r>
            <w:r w:rsidRPr="00DA3D0E">
              <w:rPr>
                <w:sz w:val="18"/>
                <w:vertAlign w:val="superscript"/>
              </w:rPr>
              <w:t>rd</w:t>
            </w:r>
            <w:r w:rsidRPr="00DA3D0E">
              <w:rPr>
                <w:sz w:val="18"/>
              </w:rPr>
              <w:t xml:space="preserve"> party land.)</w:t>
            </w:r>
          </w:p>
        </w:tc>
      </w:tr>
      <w:tr w:rsidR="00902501" w:rsidRPr="000C334B" w:rsidTr="00902501">
        <w:trPr>
          <w:trHeight w:val="150"/>
        </w:trPr>
        <w:tc>
          <w:tcPr>
            <w:tcW w:w="1418" w:type="dxa"/>
          </w:tcPr>
          <w:p w:rsidR="00902501" w:rsidRDefault="00902501" w:rsidP="00902501">
            <w:pPr>
              <w:pStyle w:val="Tabletext"/>
            </w:pPr>
          </w:p>
        </w:tc>
        <w:tc>
          <w:tcPr>
            <w:tcW w:w="3118" w:type="dxa"/>
          </w:tcPr>
          <w:p w:rsidR="00902501" w:rsidRDefault="00902501" w:rsidP="00902501">
            <w:pPr>
              <w:pStyle w:val="Tabletext"/>
            </w:pPr>
          </w:p>
        </w:tc>
        <w:tc>
          <w:tcPr>
            <w:tcW w:w="5298" w:type="dxa"/>
          </w:tcPr>
          <w:p w:rsidR="00902501" w:rsidRPr="000C334B" w:rsidRDefault="00902501" w:rsidP="00902501">
            <w:pPr>
              <w:pStyle w:val="Tabletext"/>
            </w:pPr>
          </w:p>
        </w:tc>
      </w:tr>
    </w:tbl>
    <w:p w:rsidR="00902501" w:rsidRPr="000C334B" w:rsidRDefault="00902501" w:rsidP="00902501">
      <w:pPr>
        <w:pStyle w:val="Source"/>
      </w:pPr>
      <w:r w:rsidRPr="00BD0997">
        <w:t xml:space="preserve">Source: </w:t>
      </w:r>
      <w:r w:rsidR="00391FDF" w:rsidRPr="00BD0997">
        <w:t>Greater Norwich Local Plan</w:t>
      </w:r>
      <w:r w:rsidR="00391FDF">
        <w:t xml:space="preserve"> </w:t>
      </w:r>
    </w:p>
    <w:p w:rsidR="007D67D7" w:rsidRDefault="007D67D7" w:rsidP="007D67D7">
      <w:pPr>
        <w:pStyle w:val="Heading3"/>
        <w:jc w:val="both"/>
      </w:pPr>
      <w:bookmarkStart w:id="47" w:name="_Toc33015842"/>
      <w:r>
        <w:t>Quantity of housing to provide</w:t>
      </w:r>
      <w:bookmarkEnd w:id="47"/>
    </w:p>
    <w:p w:rsidR="007D67D7" w:rsidRDefault="007D67D7" w:rsidP="007D67D7">
      <w:pPr>
        <w:pStyle w:val="ListNumber"/>
        <w:spacing w:before="0"/>
        <w:jc w:val="both"/>
        <w:rPr>
          <w:sz w:val="18"/>
          <w:szCs w:val="18"/>
        </w:rPr>
      </w:pPr>
      <w:r>
        <w:rPr>
          <w:sz w:val="18"/>
          <w:szCs w:val="18"/>
        </w:rPr>
        <w:t>The NPPF 201</w:t>
      </w:r>
      <w:r w:rsidR="00B37C4D">
        <w:rPr>
          <w:sz w:val="18"/>
          <w:szCs w:val="18"/>
        </w:rPr>
        <w:t>9</w:t>
      </w:r>
      <w:r>
        <w:rPr>
          <w:sz w:val="18"/>
          <w:szCs w:val="18"/>
        </w:rPr>
        <w:t xml:space="preserve"> requires, through paragraphs 65 and 66, Local Authorities to provide neighbourhood groups with a definitive or an indicative number of houses to plan for over the Neighbourhood Plan period.</w:t>
      </w:r>
    </w:p>
    <w:p w:rsidR="007D67D7" w:rsidRDefault="00B37C4D" w:rsidP="007D67D7">
      <w:pPr>
        <w:pStyle w:val="ListNumber"/>
        <w:spacing w:before="0"/>
        <w:jc w:val="both"/>
        <w:rPr>
          <w:sz w:val="18"/>
          <w:szCs w:val="18"/>
        </w:rPr>
      </w:pPr>
      <w:r>
        <w:rPr>
          <w:sz w:val="18"/>
          <w:szCs w:val="18"/>
        </w:rPr>
        <w:t>Broadland</w:t>
      </w:r>
      <w:r w:rsidR="007D67D7">
        <w:rPr>
          <w:sz w:val="18"/>
          <w:szCs w:val="18"/>
        </w:rPr>
        <w:t xml:space="preserve"> has fulfilled that requirement by providing </w:t>
      </w:r>
      <w:r>
        <w:rPr>
          <w:sz w:val="18"/>
          <w:szCs w:val="18"/>
        </w:rPr>
        <w:t>Reedham</w:t>
      </w:r>
      <w:r w:rsidR="007D67D7">
        <w:rPr>
          <w:sz w:val="18"/>
          <w:szCs w:val="18"/>
        </w:rPr>
        <w:t xml:space="preserve"> </w:t>
      </w:r>
      <w:r w:rsidR="007D67D7" w:rsidRPr="00895799">
        <w:rPr>
          <w:sz w:val="18"/>
          <w:szCs w:val="18"/>
        </w:rPr>
        <w:t>with a definitive</w:t>
      </w:r>
      <w:r w:rsidR="007D67D7">
        <w:rPr>
          <w:sz w:val="18"/>
          <w:szCs w:val="18"/>
        </w:rPr>
        <w:t xml:space="preserve"> figure of</w:t>
      </w:r>
      <w:r w:rsidR="00911E47">
        <w:rPr>
          <w:sz w:val="18"/>
          <w:szCs w:val="18"/>
        </w:rPr>
        <w:t xml:space="preserve"> </w:t>
      </w:r>
      <w:r w:rsidR="00895799">
        <w:rPr>
          <w:sz w:val="18"/>
          <w:szCs w:val="18"/>
        </w:rPr>
        <w:t>50-60</w:t>
      </w:r>
      <w:r w:rsidR="007D67D7">
        <w:rPr>
          <w:sz w:val="18"/>
          <w:szCs w:val="18"/>
        </w:rPr>
        <w:t xml:space="preserve"> dwellings to be accommodated within the </w:t>
      </w:r>
      <w:r w:rsidR="00450792">
        <w:rPr>
          <w:sz w:val="18"/>
          <w:szCs w:val="18"/>
        </w:rPr>
        <w:t xml:space="preserve">Neighbourhood </w:t>
      </w:r>
      <w:r w:rsidR="007D67D7">
        <w:rPr>
          <w:sz w:val="18"/>
          <w:szCs w:val="18"/>
        </w:rPr>
        <w:t>Plan area by the end of the Plan period.</w:t>
      </w:r>
      <w:r w:rsidR="00895799">
        <w:rPr>
          <w:sz w:val="18"/>
          <w:szCs w:val="18"/>
        </w:rPr>
        <w:t xml:space="preserve"> An additional 28 homes are already </w:t>
      </w:r>
      <w:proofErr w:type="gramStart"/>
      <w:r w:rsidR="00895799">
        <w:rPr>
          <w:sz w:val="18"/>
          <w:szCs w:val="18"/>
        </w:rPr>
        <w:t>allocated,</w:t>
      </w:r>
      <w:proofErr w:type="gramEnd"/>
      <w:r w:rsidR="00895799">
        <w:rPr>
          <w:sz w:val="18"/>
          <w:szCs w:val="18"/>
        </w:rPr>
        <w:t xml:space="preserve"> therefore, the overall expected level of delivery is 68-88 dwellings.</w:t>
      </w:r>
    </w:p>
    <w:p w:rsidR="007D67D7" w:rsidRDefault="007D67D7" w:rsidP="007D67D7">
      <w:pPr>
        <w:pStyle w:val="ListNumber"/>
        <w:spacing w:before="0"/>
        <w:jc w:val="both"/>
        <w:rPr>
          <w:sz w:val="18"/>
          <w:szCs w:val="18"/>
        </w:rPr>
      </w:pPr>
      <w:r>
        <w:rPr>
          <w:sz w:val="18"/>
          <w:szCs w:val="18"/>
        </w:rPr>
        <w:t>Given that the NPPF requirement has already been fulfilled, the question of how many houses to pla</w:t>
      </w:r>
      <w:r w:rsidR="00D52973">
        <w:rPr>
          <w:sz w:val="18"/>
          <w:szCs w:val="18"/>
        </w:rPr>
        <w:t xml:space="preserve">n for has been answered. It is therefore </w:t>
      </w:r>
      <w:r>
        <w:rPr>
          <w:sz w:val="18"/>
          <w:szCs w:val="18"/>
        </w:rPr>
        <w:t>outside the scope of this Housing Needs Assessment</w:t>
      </w:r>
      <w:r w:rsidR="004442D2">
        <w:rPr>
          <w:sz w:val="18"/>
          <w:szCs w:val="18"/>
        </w:rPr>
        <w:t>. T</w:t>
      </w:r>
      <w:r>
        <w:rPr>
          <w:sz w:val="18"/>
          <w:szCs w:val="18"/>
        </w:rPr>
        <w:t>he issue of quantity has been excluded from the Research Questions (see Chapter 3 below).</w:t>
      </w:r>
    </w:p>
    <w:p w:rsidR="007D67D7" w:rsidRPr="00E64956" w:rsidRDefault="007D67D7" w:rsidP="002C2D5C">
      <w:pPr>
        <w:pStyle w:val="ListNumber"/>
        <w:numPr>
          <w:ilvl w:val="0"/>
          <w:numId w:val="0"/>
        </w:numPr>
        <w:jc w:val="both"/>
        <w:rPr>
          <w:i/>
          <w:sz w:val="18"/>
          <w:szCs w:val="18"/>
        </w:rPr>
      </w:pPr>
    </w:p>
    <w:p w:rsidR="002C2D5C" w:rsidRDefault="002C2D5C" w:rsidP="002C2D5C">
      <w:pPr>
        <w:jc w:val="both"/>
        <w:rPr>
          <w:rFonts w:eastAsiaTheme="majorEastAsia" w:cstheme="majorBidi"/>
          <w:color w:val="00B5E2" w:themeColor="accent1"/>
          <w:sz w:val="30"/>
          <w:szCs w:val="28"/>
          <w:highlight w:val="lightGray"/>
          <w:lang w:val="en-US"/>
        </w:rPr>
      </w:pPr>
      <w:r>
        <w:rPr>
          <w:highlight w:val="lightGray"/>
          <w:lang w:val="en-US"/>
        </w:rPr>
        <w:br w:type="page"/>
      </w:r>
    </w:p>
    <w:p w:rsidR="002C2D5C" w:rsidRPr="003A2EED" w:rsidRDefault="002C2D5C" w:rsidP="002C2D5C">
      <w:pPr>
        <w:pStyle w:val="Heading1"/>
        <w:jc w:val="both"/>
        <w:rPr>
          <w:lang w:val="en-US"/>
        </w:rPr>
      </w:pPr>
      <w:bookmarkStart w:id="48" w:name="_Toc33015843"/>
      <w:r w:rsidRPr="00E80CC8">
        <w:rPr>
          <w:lang w:val="en-US"/>
        </w:rPr>
        <w:lastRenderedPageBreak/>
        <w:t>Approach</w:t>
      </w:r>
      <w:bookmarkEnd w:id="32"/>
      <w:bookmarkEnd w:id="33"/>
      <w:bookmarkEnd w:id="48"/>
    </w:p>
    <w:p w:rsidR="002C2D5C" w:rsidRDefault="002C2D5C" w:rsidP="002C2D5C">
      <w:pPr>
        <w:pStyle w:val="Heading2"/>
        <w:jc w:val="both"/>
      </w:pPr>
      <w:bookmarkStart w:id="49" w:name="_Toc33015844"/>
      <w:r w:rsidRPr="00E80CC8">
        <w:t>Research Questions</w:t>
      </w:r>
      <w:bookmarkEnd w:id="49"/>
    </w:p>
    <w:p w:rsidR="002C2D5C" w:rsidRPr="00747D45" w:rsidRDefault="002C2D5C" w:rsidP="002C2D5C">
      <w:pPr>
        <w:pStyle w:val="ListNumber"/>
        <w:spacing w:before="0"/>
        <w:jc w:val="both"/>
        <w:rPr>
          <w:sz w:val="18"/>
          <w:szCs w:val="18"/>
        </w:rPr>
      </w:pPr>
      <w:r w:rsidRPr="00747D45">
        <w:rPr>
          <w:sz w:val="18"/>
          <w:szCs w:val="18"/>
        </w:rPr>
        <w:t xml:space="preserve">Research Questions, abbreviated to ‘RQ;’ are formulated at the start of the project through discussion with the neighbourhood group. They serve to direct </w:t>
      </w:r>
      <w:r w:rsidR="004442D2">
        <w:rPr>
          <w:sz w:val="18"/>
          <w:szCs w:val="18"/>
        </w:rPr>
        <w:t>the</w:t>
      </w:r>
      <w:r w:rsidR="004442D2" w:rsidRPr="00747D45">
        <w:rPr>
          <w:sz w:val="18"/>
          <w:szCs w:val="18"/>
        </w:rPr>
        <w:t xml:space="preserve"> </w:t>
      </w:r>
      <w:r w:rsidRPr="00747D45">
        <w:rPr>
          <w:sz w:val="18"/>
          <w:szCs w:val="18"/>
        </w:rPr>
        <w:t>research and provide the structure for the HNA.</w:t>
      </w:r>
    </w:p>
    <w:p w:rsidR="002C2D5C" w:rsidRPr="00747D45" w:rsidRDefault="004442D2" w:rsidP="002C2D5C">
      <w:pPr>
        <w:pStyle w:val="ListNumber"/>
        <w:spacing w:before="0"/>
        <w:jc w:val="both"/>
        <w:rPr>
          <w:sz w:val="18"/>
          <w:szCs w:val="18"/>
        </w:rPr>
      </w:pPr>
      <w:r>
        <w:rPr>
          <w:sz w:val="18"/>
          <w:szCs w:val="18"/>
        </w:rPr>
        <w:t>T</w:t>
      </w:r>
      <w:r w:rsidR="002C2D5C" w:rsidRPr="00747D45">
        <w:rPr>
          <w:sz w:val="18"/>
          <w:szCs w:val="18"/>
        </w:rPr>
        <w:t xml:space="preserve">he RQs relevant to this study, as discussed and agreed with </w:t>
      </w:r>
      <w:r w:rsidR="00DB4D40">
        <w:rPr>
          <w:sz w:val="18"/>
          <w:szCs w:val="18"/>
        </w:rPr>
        <w:t>Reedham Parish Council</w:t>
      </w:r>
      <w:r>
        <w:rPr>
          <w:sz w:val="18"/>
          <w:szCs w:val="18"/>
        </w:rPr>
        <w:t>, are set out below</w:t>
      </w:r>
      <w:r w:rsidR="002C2D5C" w:rsidRPr="00747D45">
        <w:rPr>
          <w:sz w:val="18"/>
          <w:szCs w:val="18"/>
        </w:rPr>
        <w:t>.</w:t>
      </w:r>
    </w:p>
    <w:p w:rsidR="002C2D5C" w:rsidRDefault="002C2D5C" w:rsidP="002C2D5C">
      <w:pPr>
        <w:pStyle w:val="Heading3"/>
        <w:jc w:val="both"/>
      </w:pPr>
      <w:bookmarkStart w:id="50" w:name="_Toc33015845"/>
      <w:r w:rsidRPr="00BC20E6">
        <w:t>Tenure</w:t>
      </w:r>
      <w:r w:rsidR="00BB090C">
        <w:t xml:space="preserve"> and A</w:t>
      </w:r>
      <w:r>
        <w:t>ffordability</w:t>
      </w:r>
      <w:bookmarkEnd w:id="50"/>
    </w:p>
    <w:p w:rsidR="002C2D5C" w:rsidRPr="00747D45" w:rsidRDefault="002C2D5C" w:rsidP="002C2D5C">
      <w:pPr>
        <w:pStyle w:val="ListNumber"/>
        <w:widowControl w:val="0"/>
        <w:spacing w:before="0"/>
        <w:jc w:val="both"/>
        <w:rPr>
          <w:sz w:val="18"/>
          <w:szCs w:val="18"/>
          <w:lang w:val="en-GB"/>
        </w:rPr>
      </w:pPr>
      <w:r w:rsidRPr="00747D45">
        <w:rPr>
          <w:sz w:val="18"/>
          <w:szCs w:val="18"/>
          <w:lang w:val="en-GB"/>
        </w:rPr>
        <w:t>The neighbourhood planning group would like to understand the needs of the community for housing of varying tenures, as well as the relative affordability of those tenures that should be provided to meet local need now and into the future.</w:t>
      </w:r>
    </w:p>
    <w:p w:rsidR="002C2D5C" w:rsidRPr="00747D45" w:rsidRDefault="002C2D5C" w:rsidP="002C2D5C">
      <w:pPr>
        <w:pStyle w:val="ListNumber"/>
        <w:widowControl w:val="0"/>
        <w:spacing w:before="0"/>
        <w:jc w:val="both"/>
        <w:rPr>
          <w:sz w:val="18"/>
          <w:szCs w:val="18"/>
          <w:lang w:val="en-GB"/>
        </w:rPr>
      </w:pPr>
      <w:r w:rsidRPr="00747D45">
        <w:rPr>
          <w:sz w:val="18"/>
          <w:szCs w:val="18"/>
          <w:lang w:val="en-GB"/>
        </w:rPr>
        <w:t xml:space="preserve">This evidence will allow </w:t>
      </w:r>
      <w:r w:rsidR="00E04B6D">
        <w:rPr>
          <w:sz w:val="18"/>
          <w:szCs w:val="18"/>
          <w:lang w:val="en-GB"/>
        </w:rPr>
        <w:t>Reedham</w:t>
      </w:r>
      <w:r w:rsidRPr="00747D45">
        <w:rPr>
          <w:sz w:val="18"/>
          <w:szCs w:val="18"/>
          <w:lang w:val="en-GB"/>
        </w:rPr>
        <w:t xml:space="preserve"> to establish the right conditions for new development to come forward that is affordable, both in the broader sense of market housing attainable for first-time buyers, and as Affordable Housing for those who may be currently priced out of the market. </w:t>
      </w:r>
    </w:p>
    <w:p w:rsidR="002C2D5C" w:rsidRPr="00747D45" w:rsidRDefault="005F54A3" w:rsidP="002C2D5C">
      <w:pPr>
        <w:pStyle w:val="ListNumber"/>
        <w:numPr>
          <w:ilvl w:val="0"/>
          <w:numId w:val="0"/>
        </w:numPr>
        <w:ind w:left="425"/>
        <w:jc w:val="both"/>
        <w:rPr>
          <w:b/>
          <w:i/>
          <w:sz w:val="18"/>
          <w:szCs w:val="18"/>
          <w:lang w:val="en-GB"/>
        </w:rPr>
      </w:pPr>
      <w:r w:rsidRPr="00747D45">
        <w:rPr>
          <w:b/>
          <w:i/>
          <w:sz w:val="18"/>
          <w:szCs w:val="18"/>
        </w:rPr>
        <w:t xml:space="preserve">RQ </w:t>
      </w:r>
      <w:r w:rsidR="00E04B6D">
        <w:rPr>
          <w:b/>
          <w:i/>
          <w:sz w:val="18"/>
          <w:szCs w:val="18"/>
        </w:rPr>
        <w:t>1</w:t>
      </w:r>
      <w:r w:rsidR="002C2D5C" w:rsidRPr="00747D45">
        <w:rPr>
          <w:b/>
          <w:i/>
          <w:sz w:val="18"/>
          <w:szCs w:val="18"/>
          <w:lang w:val="en-GB"/>
        </w:rPr>
        <w:t xml:space="preserve">: What </w:t>
      </w:r>
      <w:r w:rsidR="0030488D">
        <w:rPr>
          <w:b/>
          <w:i/>
          <w:sz w:val="18"/>
          <w:szCs w:val="18"/>
          <w:lang w:val="en-GB"/>
        </w:rPr>
        <w:t xml:space="preserve">quantity and tenures of </w:t>
      </w:r>
      <w:r w:rsidR="002C2D5C" w:rsidRPr="00747D45">
        <w:rPr>
          <w:b/>
          <w:i/>
          <w:sz w:val="18"/>
          <w:szCs w:val="18"/>
          <w:lang w:val="en-GB"/>
        </w:rPr>
        <w:t xml:space="preserve">Affordable Housing should be planned for </w:t>
      </w:r>
      <w:r w:rsidR="00F16F43">
        <w:rPr>
          <w:b/>
          <w:i/>
          <w:sz w:val="18"/>
          <w:szCs w:val="18"/>
          <w:lang w:val="en-GB"/>
        </w:rPr>
        <w:t>over the Neighbourhood Plan p</w:t>
      </w:r>
      <w:r w:rsidR="002C2D5C" w:rsidRPr="00747D45">
        <w:rPr>
          <w:b/>
          <w:i/>
          <w:sz w:val="18"/>
          <w:szCs w:val="18"/>
          <w:lang w:val="en-GB"/>
        </w:rPr>
        <w:t>eriod?</w:t>
      </w:r>
    </w:p>
    <w:p w:rsidR="002C2D5C" w:rsidRDefault="00BB090C" w:rsidP="002C2D5C">
      <w:pPr>
        <w:pStyle w:val="Heading3"/>
        <w:jc w:val="both"/>
      </w:pPr>
      <w:bookmarkStart w:id="51" w:name="_Toc33015846"/>
      <w:r>
        <w:t>Type and S</w:t>
      </w:r>
      <w:r w:rsidR="002C2D5C" w:rsidRPr="00BC20E6">
        <w:t>ize</w:t>
      </w:r>
      <w:bookmarkEnd w:id="51"/>
      <w:r w:rsidR="002C2D5C">
        <w:t xml:space="preserve"> </w:t>
      </w:r>
    </w:p>
    <w:p w:rsidR="002C2D5C" w:rsidRPr="00747D45" w:rsidRDefault="002C2D5C" w:rsidP="002C2D5C">
      <w:pPr>
        <w:pStyle w:val="ListNumber"/>
        <w:spacing w:before="0"/>
        <w:jc w:val="both"/>
        <w:rPr>
          <w:sz w:val="18"/>
          <w:szCs w:val="18"/>
        </w:rPr>
      </w:pPr>
      <w:r w:rsidRPr="00747D45">
        <w:rPr>
          <w:sz w:val="18"/>
          <w:szCs w:val="18"/>
        </w:rPr>
        <w:t xml:space="preserve">The neighbourhood planning group is seeking to determine what size and type of housing would be best suited to the local community. </w:t>
      </w:r>
    </w:p>
    <w:p w:rsidR="002C2D5C" w:rsidRPr="00747D45" w:rsidRDefault="002C2D5C" w:rsidP="002C2D5C">
      <w:pPr>
        <w:pStyle w:val="ListNumber"/>
        <w:spacing w:before="0"/>
        <w:jc w:val="both"/>
        <w:rPr>
          <w:sz w:val="18"/>
          <w:szCs w:val="18"/>
        </w:rPr>
      </w:pPr>
      <w:r w:rsidRPr="00747D45">
        <w:rPr>
          <w:sz w:val="18"/>
          <w:szCs w:val="18"/>
        </w:rPr>
        <w:t>The aim of this research q</w:t>
      </w:r>
      <w:r w:rsidR="00591064">
        <w:rPr>
          <w:sz w:val="18"/>
          <w:szCs w:val="18"/>
        </w:rPr>
        <w:t>uestion is to provide neighbourhood planners</w:t>
      </w:r>
      <w:r w:rsidRPr="00747D45">
        <w:rPr>
          <w:sz w:val="18"/>
          <w:szCs w:val="18"/>
        </w:rPr>
        <w:t xml:space="preserve"> with evidence on the types and sizes needed by the local community. This will </w:t>
      </w:r>
      <w:r w:rsidR="004442D2">
        <w:rPr>
          <w:sz w:val="18"/>
          <w:szCs w:val="18"/>
        </w:rPr>
        <w:t>help to shape</w:t>
      </w:r>
      <w:r w:rsidR="004442D2" w:rsidRPr="00747D45">
        <w:rPr>
          <w:sz w:val="18"/>
          <w:szCs w:val="18"/>
        </w:rPr>
        <w:t xml:space="preserve"> </w:t>
      </w:r>
      <w:r w:rsidRPr="00747D45">
        <w:rPr>
          <w:sz w:val="18"/>
          <w:szCs w:val="18"/>
        </w:rPr>
        <w:t>future development</w:t>
      </w:r>
      <w:r w:rsidR="004442D2">
        <w:rPr>
          <w:sz w:val="18"/>
          <w:szCs w:val="18"/>
        </w:rPr>
        <w:t xml:space="preserve"> so that it better</w:t>
      </w:r>
      <w:r w:rsidRPr="00747D45">
        <w:rPr>
          <w:sz w:val="18"/>
          <w:szCs w:val="18"/>
        </w:rPr>
        <w:t xml:space="preserve"> reflects what residents need.</w:t>
      </w:r>
    </w:p>
    <w:p w:rsidR="002C2D5C" w:rsidRPr="00747D45" w:rsidRDefault="005F54A3" w:rsidP="002C2D5C">
      <w:pPr>
        <w:pStyle w:val="ListNumber"/>
        <w:numPr>
          <w:ilvl w:val="0"/>
          <w:numId w:val="0"/>
        </w:numPr>
        <w:spacing w:before="0"/>
        <w:ind w:left="425"/>
        <w:jc w:val="both"/>
        <w:rPr>
          <w:b/>
          <w:i/>
          <w:sz w:val="18"/>
          <w:szCs w:val="18"/>
        </w:rPr>
      </w:pPr>
      <w:r w:rsidRPr="00747D45">
        <w:rPr>
          <w:b/>
          <w:i/>
          <w:sz w:val="18"/>
          <w:szCs w:val="18"/>
        </w:rPr>
        <w:t xml:space="preserve">RQ </w:t>
      </w:r>
      <w:r w:rsidR="00E04B6D">
        <w:rPr>
          <w:b/>
          <w:i/>
          <w:sz w:val="18"/>
          <w:szCs w:val="18"/>
        </w:rPr>
        <w:t>2</w:t>
      </w:r>
      <w:r w:rsidR="002C2D5C" w:rsidRPr="00747D45">
        <w:rPr>
          <w:b/>
          <w:i/>
          <w:sz w:val="18"/>
          <w:szCs w:val="18"/>
        </w:rPr>
        <w:t xml:space="preserve">: What type (terrace, semi, bungalows, flats and detached) and size (number of </w:t>
      </w:r>
      <w:r w:rsidR="004651D1">
        <w:rPr>
          <w:b/>
          <w:i/>
          <w:sz w:val="18"/>
          <w:szCs w:val="18"/>
        </w:rPr>
        <w:t>bed</w:t>
      </w:r>
      <w:r w:rsidR="002C2D5C" w:rsidRPr="00747D45">
        <w:rPr>
          <w:b/>
          <w:i/>
          <w:sz w:val="18"/>
          <w:szCs w:val="18"/>
        </w:rPr>
        <w:t xml:space="preserve">rooms) of housing is appropriate for </w:t>
      </w:r>
      <w:r w:rsidR="005F50BC">
        <w:rPr>
          <w:b/>
          <w:i/>
          <w:sz w:val="18"/>
          <w:szCs w:val="18"/>
        </w:rPr>
        <w:t>the Plan area</w:t>
      </w:r>
      <w:r w:rsidR="002C2D5C" w:rsidRPr="00747D45">
        <w:rPr>
          <w:b/>
          <w:i/>
          <w:sz w:val="18"/>
          <w:szCs w:val="18"/>
        </w:rPr>
        <w:t xml:space="preserve"> over the Neighbourhood Plan period?</w:t>
      </w:r>
    </w:p>
    <w:p w:rsidR="002C2D5C" w:rsidRDefault="002C2D5C" w:rsidP="002C2D5C">
      <w:pPr>
        <w:spacing w:before="0" w:after="0" w:line="240" w:lineRule="auto"/>
        <w:rPr>
          <w:b/>
          <w:i/>
          <w:sz w:val="18"/>
          <w:lang w:val="en-US"/>
        </w:rPr>
      </w:pPr>
      <w:r>
        <w:rPr>
          <w:b/>
          <w:i/>
        </w:rPr>
        <w:br w:type="page"/>
      </w:r>
    </w:p>
    <w:p w:rsidR="002C2D5C" w:rsidRDefault="002C2D5C" w:rsidP="002C2D5C">
      <w:pPr>
        <w:pStyle w:val="Heading2"/>
        <w:jc w:val="both"/>
      </w:pPr>
      <w:bookmarkStart w:id="52" w:name="_Toc33015847"/>
      <w:r w:rsidRPr="00E858D8">
        <w:lastRenderedPageBreak/>
        <w:t>Relevant Data</w:t>
      </w:r>
      <w:bookmarkEnd w:id="52"/>
    </w:p>
    <w:p w:rsidR="002C2D5C" w:rsidRPr="003A5666" w:rsidRDefault="002C2D5C" w:rsidP="002C2D5C">
      <w:pPr>
        <w:pStyle w:val="Heading3"/>
        <w:jc w:val="both"/>
      </w:pPr>
      <w:bookmarkStart w:id="53" w:name="_Toc533017412"/>
      <w:bookmarkStart w:id="54" w:name="_Toc536797424"/>
      <w:bookmarkStart w:id="55" w:name="_Toc33015848"/>
      <w:r w:rsidRPr="003A5666">
        <w:t xml:space="preserve">Local </w:t>
      </w:r>
      <w:r>
        <w:t>a</w:t>
      </w:r>
      <w:r w:rsidRPr="003A5666">
        <w:t>uthority evidence base</w:t>
      </w:r>
      <w:bookmarkEnd w:id="53"/>
      <w:bookmarkEnd w:id="54"/>
      <w:bookmarkEnd w:id="55"/>
    </w:p>
    <w:p w:rsidR="002C2D5C" w:rsidRPr="00747D45" w:rsidRDefault="002C6C6B" w:rsidP="002C2D5C">
      <w:pPr>
        <w:pStyle w:val="ListNumber"/>
        <w:widowControl w:val="0"/>
        <w:jc w:val="both"/>
        <w:rPr>
          <w:sz w:val="18"/>
          <w:szCs w:val="18"/>
        </w:rPr>
      </w:pPr>
      <w:bookmarkStart w:id="56" w:name="_Toc533017413"/>
      <w:bookmarkStart w:id="57" w:name="_Toc536797425"/>
      <w:r>
        <w:rPr>
          <w:sz w:val="18"/>
          <w:szCs w:val="18"/>
        </w:rPr>
        <w:t xml:space="preserve">It is appropriate for neighbourhood planners to </w:t>
      </w:r>
      <w:r w:rsidR="002C2D5C" w:rsidRPr="00747D45">
        <w:rPr>
          <w:sz w:val="18"/>
          <w:szCs w:val="18"/>
        </w:rPr>
        <w:t>refer to existing needs assessment</w:t>
      </w:r>
      <w:r>
        <w:rPr>
          <w:sz w:val="18"/>
          <w:szCs w:val="18"/>
        </w:rPr>
        <w:t>s</w:t>
      </w:r>
      <w:r w:rsidR="002C2D5C" w:rsidRPr="00747D45">
        <w:rPr>
          <w:sz w:val="18"/>
          <w:szCs w:val="18"/>
        </w:rPr>
        <w:t xml:space="preserve"> prepared by the Local Planning Authority (LPA) as a starting point. As </w:t>
      </w:r>
      <w:r w:rsidR="00423C77">
        <w:rPr>
          <w:sz w:val="18"/>
          <w:szCs w:val="18"/>
        </w:rPr>
        <w:t>Reedham</w:t>
      </w:r>
      <w:r w:rsidR="002C2D5C" w:rsidRPr="00747D45">
        <w:rPr>
          <w:sz w:val="18"/>
          <w:szCs w:val="18"/>
        </w:rPr>
        <w:t xml:space="preserve"> Neighbourhood Area is located within </w:t>
      </w:r>
      <w:r w:rsidR="00423C77">
        <w:rPr>
          <w:sz w:val="18"/>
          <w:szCs w:val="18"/>
        </w:rPr>
        <w:t>Broadland</w:t>
      </w:r>
      <w:r w:rsidR="002C2D5C" w:rsidRPr="005F54A3">
        <w:rPr>
          <w:sz w:val="18"/>
          <w:szCs w:val="18"/>
        </w:rPr>
        <w:t>’s</w:t>
      </w:r>
      <w:r w:rsidR="002C2D5C" w:rsidRPr="00747D45">
        <w:rPr>
          <w:sz w:val="18"/>
          <w:szCs w:val="18"/>
        </w:rPr>
        <w:t xml:space="preserve"> planning area, we therefore turned to the relevant Strategic Ho</w:t>
      </w:r>
      <w:r w:rsidR="00A20B9B">
        <w:rPr>
          <w:sz w:val="18"/>
          <w:szCs w:val="18"/>
        </w:rPr>
        <w:t xml:space="preserve">using Market Assessment (SHMA), which is known as </w:t>
      </w:r>
      <w:r w:rsidR="00423C77">
        <w:rPr>
          <w:sz w:val="18"/>
          <w:szCs w:val="18"/>
        </w:rPr>
        <w:t>the Central Norfolk Strategic Housing Market Assessment (2017)</w:t>
      </w:r>
      <w:r w:rsidR="00A20B9B">
        <w:rPr>
          <w:sz w:val="18"/>
          <w:szCs w:val="18"/>
        </w:rPr>
        <w:t>.</w:t>
      </w:r>
    </w:p>
    <w:p w:rsidR="002C2D5C" w:rsidRPr="00747D45" w:rsidRDefault="002C2D5C" w:rsidP="002C2D5C">
      <w:pPr>
        <w:pStyle w:val="ListNumber"/>
        <w:widowControl w:val="0"/>
        <w:jc w:val="both"/>
        <w:rPr>
          <w:sz w:val="18"/>
          <w:szCs w:val="18"/>
        </w:rPr>
      </w:pPr>
      <w:r w:rsidRPr="00747D45">
        <w:rPr>
          <w:sz w:val="18"/>
          <w:szCs w:val="18"/>
        </w:rPr>
        <w:t xml:space="preserve">For the purpose of this HNA, data from </w:t>
      </w:r>
      <w:r w:rsidR="00423C77">
        <w:rPr>
          <w:sz w:val="18"/>
          <w:szCs w:val="18"/>
        </w:rPr>
        <w:t>Broadland</w:t>
      </w:r>
      <w:r w:rsidRPr="00747D45">
        <w:rPr>
          <w:sz w:val="18"/>
          <w:szCs w:val="18"/>
        </w:rPr>
        <w:t xml:space="preserve">’s own evidence base to support their housing policies has been considered applicable and relevant unless it conflicts with more locally specific and/or more recently-produced evidence. The housing market evidence draws upon a range of data including population and demographic projections, housing market transactions, and employment scenarios. As such, it contains a number of points of relevance when determining housing need within </w:t>
      </w:r>
      <w:r w:rsidR="005F50BC">
        <w:rPr>
          <w:sz w:val="18"/>
          <w:szCs w:val="18"/>
        </w:rPr>
        <w:t xml:space="preserve">the </w:t>
      </w:r>
      <w:r w:rsidR="00703761">
        <w:rPr>
          <w:sz w:val="18"/>
          <w:szCs w:val="18"/>
        </w:rPr>
        <w:t xml:space="preserve">Neighbourhood </w:t>
      </w:r>
      <w:r w:rsidR="005F50BC">
        <w:rPr>
          <w:sz w:val="18"/>
          <w:szCs w:val="18"/>
        </w:rPr>
        <w:t>Plan area</w:t>
      </w:r>
      <w:r w:rsidRPr="00747D45">
        <w:rPr>
          <w:sz w:val="18"/>
          <w:szCs w:val="18"/>
        </w:rPr>
        <w:t>, and has been referenced as appropriate.</w:t>
      </w:r>
    </w:p>
    <w:p w:rsidR="002C2D5C" w:rsidRPr="003A5666" w:rsidRDefault="002C2D5C" w:rsidP="002C2D5C">
      <w:pPr>
        <w:pStyle w:val="Heading3"/>
        <w:jc w:val="both"/>
      </w:pPr>
      <w:bookmarkStart w:id="58" w:name="_Toc33015849"/>
      <w:r w:rsidRPr="003A5666">
        <w:t>Other relevant data</w:t>
      </w:r>
      <w:bookmarkEnd w:id="56"/>
      <w:bookmarkEnd w:id="57"/>
      <w:bookmarkEnd w:id="58"/>
    </w:p>
    <w:p w:rsidR="002C2D5C" w:rsidRPr="00747D45" w:rsidRDefault="002C2D5C" w:rsidP="002C2D5C">
      <w:pPr>
        <w:pStyle w:val="ListNumber"/>
        <w:widowControl w:val="0"/>
        <w:jc w:val="both"/>
        <w:rPr>
          <w:sz w:val="18"/>
          <w:szCs w:val="18"/>
        </w:rPr>
      </w:pPr>
      <w:bookmarkStart w:id="59" w:name="_Toc425332018"/>
      <w:r w:rsidRPr="00747D45">
        <w:rPr>
          <w:sz w:val="18"/>
          <w:szCs w:val="18"/>
        </w:rPr>
        <w:t xml:space="preserve">In addition to the </w:t>
      </w:r>
      <w:r w:rsidR="00423C77">
        <w:rPr>
          <w:sz w:val="18"/>
          <w:szCs w:val="18"/>
        </w:rPr>
        <w:t>Broadland</w:t>
      </w:r>
      <w:r w:rsidRPr="00747D45">
        <w:rPr>
          <w:sz w:val="18"/>
          <w:szCs w:val="18"/>
        </w:rPr>
        <w:t xml:space="preserve"> evidence base, we have assessed other evidence to ensure our study is robust for the purposes of developing policy at the NP level and is locally specific. This includes data from both Census 2001 and 2011, as well as from a wide range of other data sources, including:</w:t>
      </w:r>
    </w:p>
    <w:p w:rsidR="002C2D5C" w:rsidRPr="00747D45" w:rsidRDefault="002C2D5C" w:rsidP="002C2D5C">
      <w:pPr>
        <w:pStyle w:val="ListBullet"/>
        <w:spacing w:before="0" w:line="240" w:lineRule="atLeast"/>
        <w:rPr>
          <w:sz w:val="18"/>
          <w:szCs w:val="18"/>
        </w:rPr>
      </w:pPr>
      <w:r w:rsidRPr="00747D45">
        <w:rPr>
          <w:sz w:val="18"/>
          <w:szCs w:val="18"/>
        </w:rPr>
        <w:t>Land Registry data on prices paid for housing within the local market;</w:t>
      </w:r>
    </w:p>
    <w:p w:rsidR="002C2D5C" w:rsidRPr="00747D45" w:rsidRDefault="002C2D5C" w:rsidP="002C2D5C">
      <w:pPr>
        <w:pStyle w:val="ListBullet"/>
        <w:spacing w:before="0" w:line="240" w:lineRule="atLeast"/>
        <w:rPr>
          <w:sz w:val="18"/>
          <w:szCs w:val="18"/>
        </w:rPr>
      </w:pPr>
      <w:r w:rsidRPr="00747D45">
        <w:rPr>
          <w:sz w:val="18"/>
          <w:szCs w:val="18"/>
        </w:rPr>
        <w:t>Population and household projections produced by the Office of National Statistics (ONS);</w:t>
      </w:r>
    </w:p>
    <w:p w:rsidR="002C2D5C" w:rsidRPr="00747D45" w:rsidRDefault="002C2D5C" w:rsidP="002C2D5C">
      <w:pPr>
        <w:pStyle w:val="ListBullet"/>
        <w:spacing w:before="0" w:line="240" w:lineRule="atLeast"/>
        <w:rPr>
          <w:sz w:val="18"/>
          <w:szCs w:val="18"/>
        </w:rPr>
      </w:pPr>
      <w:r w:rsidRPr="00747D45">
        <w:rPr>
          <w:sz w:val="18"/>
          <w:szCs w:val="18"/>
        </w:rPr>
        <w:t xml:space="preserve">Information on current property asking prices, for housing for sale or rent, from </w:t>
      </w:r>
      <w:hyperlink r:id="rId14" w:history="1">
        <w:r w:rsidRPr="00747D45">
          <w:rPr>
            <w:rStyle w:val="Hyperlink"/>
            <w:sz w:val="18"/>
            <w:szCs w:val="18"/>
          </w:rPr>
          <w:t>home.co.uk</w:t>
        </w:r>
      </w:hyperlink>
      <w:r w:rsidR="00DB4D40">
        <w:rPr>
          <w:sz w:val="18"/>
          <w:szCs w:val="18"/>
        </w:rPr>
        <w:t>.</w:t>
      </w:r>
    </w:p>
    <w:p w:rsidR="002C2D5C" w:rsidRPr="00B206DD" w:rsidRDefault="002C2D5C" w:rsidP="00B206DD">
      <w:pPr>
        <w:pStyle w:val="ListNumber"/>
        <w:numPr>
          <w:ilvl w:val="0"/>
          <w:numId w:val="0"/>
        </w:numPr>
        <w:ind w:left="425" w:hanging="425"/>
        <w:jc w:val="both"/>
      </w:pPr>
      <w:r w:rsidRPr="00BF408F">
        <w:br w:type="page"/>
      </w:r>
      <w:bookmarkStart w:id="60" w:name="_Toc2690283"/>
      <w:bookmarkStart w:id="61" w:name="_Toc425332020"/>
      <w:bookmarkStart w:id="62" w:name="_Toc461696227"/>
      <w:bookmarkEnd w:id="59"/>
    </w:p>
    <w:p w:rsidR="002C2D5C" w:rsidRPr="007C5C1C" w:rsidRDefault="002C2D5C" w:rsidP="002C2D5C">
      <w:pPr>
        <w:pStyle w:val="Heading1"/>
        <w:jc w:val="both"/>
      </w:pPr>
      <w:bookmarkStart w:id="63" w:name="_Toc33015850"/>
      <w:r>
        <w:lastRenderedPageBreak/>
        <w:t xml:space="preserve">RQ </w:t>
      </w:r>
      <w:r w:rsidR="00B206DD">
        <w:t>1</w:t>
      </w:r>
      <w:r w:rsidR="00D272A0">
        <w:t>:</w:t>
      </w:r>
      <w:r w:rsidRPr="007C5C1C">
        <w:t xml:space="preserve"> </w:t>
      </w:r>
      <w:r>
        <w:t>Tenure and Affordability</w:t>
      </w:r>
      <w:bookmarkEnd w:id="63"/>
    </w:p>
    <w:p w:rsidR="002C2D5C" w:rsidRPr="00C378B2" w:rsidRDefault="002C2D5C" w:rsidP="002C2D5C">
      <w:pPr>
        <w:pStyle w:val="ListNumber"/>
        <w:numPr>
          <w:ilvl w:val="0"/>
          <w:numId w:val="0"/>
        </w:numPr>
        <w:ind w:left="425"/>
        <w:jc w:val="both"/>
        <w:rPr>
          <w:b/>
          <w:i/>
          <w:sz w:val="18"/>
          <w:szCs w:val="18"/>
          <w:lang w:val="en-GB"/>
        </w:rPr>
      </w:pPr>
      <w:bookmarkStart w:id="64" w:name="_Toc500759108"/>
      <w:r w:rsidRPr="00C378B2">
        <w:rPr>
          <w:b/>
          <w:i/>
          <w:sz w:val="18"/>
          <w:szCs w:val="18"/>
        </w:rPr>
        <w:t>RQ</w:t>
      </w:r>
      <w:r w:rsidR="00B206DD">
        <w:rPr>
          <w:b/>
          <w:i/>
          <w:sz w:val="18"/>
          <w:szCs w:val="18"/>
        </w:rPr>
        <w:t>1</w:t>
      </w:r>
      <w:r w:rsidRPr="00C378B2">
        <w:rPr>
          <w:b/>
          <w:i/>
          <w:sz w:val="18"/>
          <w:szCs w:val="18"/>
          <w:lang w:val="en-GB"/>
        </w:rPr>
        <w:t>: What Affordable Housing (</w:t>
      </w:r>
      <w:proofErr w:type="spellStart"/>
      <w:r w:rsidR="000F3D7C">
        <w:rPr>
          <w:b/>
          <w:i/>
          <w:sz w:val="18"/>
          <w:szCs w:val="18"/>
          <w:lang w:val="en-GB"/>
        </w:rPr>
        <w:t>eg</w:t>
      </w:r>
      <w:proofErr w:type="spellEnd"/>
      <w:r w:rsidR="000F3D7C">
        <w:rPr>
          <w:b/>
          <w:i/>
          <w:sz w:val="18"/>
          <w:szCs w:val="18"/>
          <w:lang w:val="en-GB"/>
        </w:rPr>
        <w:t xml:space="preserve"> </w:t>
      </w:r>
      <w:r w:rsidRPr="00C378B2">
        <w:rPr>
          <w:b/>
          <w:i/>
          <w:sz w:val="18"/>
          <w:szCs w:val="18"/>
          <w:lang w:val="en-GB"/>
        </w:rPr>
        <w:t>social housing, affordable rented, shared ownership, intermediate rented) and other market tenures should be planned for in the housing m</w:t>
      </w:r>
      <w:r w:rsidR="00F16F43">
        <w:rPr>
          <w:b/>
          <w:i/>
          <w:sz w:val="18"/>
          <w:szCs w:val="18"/>
          <w:lang w:val="en-GB"/>
        </w:rPr>
        <w:t>ix over the Neighbourhood Plan p</w:t>
      </w:r>
      <w:r w:rsidRPr="00C378B2">
        <w:rPr>
          <w:b/>
          <w:i/>
          <w:sz w:val="18"/>
          <w:szCs w:val="18"/>
          <w:lang w:val="en-GB"/>
        </w:rPr>
        <w:t>eriod?</w:t>
      </w:r>
    </w:p>
    <w:p w:rsidR="002C2D5C" w:rsidRPr="00883E5F" w:rsidRDefault="002C2D5C" w:rsidP="002C2D5C">
      <w:pPr>
        <w:pStyle w:val="Heading2"/>
        <w:keepNext w:val="0"/>
        <w:keepLines w:val="0"/>
        <w:widowControl w:val="0"/>
        <w:ind w:left="993"/>
        <w:jc w:val="both"/>
      </w:pPr>
      <w:bookmarkStart w:id="65" w:name="_Toc33015851"/>
      <w:bookmarkStart w:id="66" w:name="_Hlk21428552"/>
      <w:r w:rsidRPr="00883E5F">
        <w:t>Introduction</w:t>
      </w:r>
      <w:bookmarkEnd w:id="65"/>
    </w:p>
    <w:p w:rsidR="002C2D5C" w:rsidRPr="00C378B2" w:rsidRDefault="002C2D5C" w:rsidP="002C2D5C">
      <w:pPr>
        <w:pStyle w:val="ListNumber"/>
        <w:widowControl w:val="0"/>
        <w:jc w:val="both"/>
        <w:rPr>
          <w:sz w:val="18"/>
          <w:szCs w:val="18"/>
        </w:rPr>
      </w:pPr>
      <w:r w:rsidRPr="00C378B2">
        <w:rPr>
          <w:sz w:val="18"/>
          <w:szCs w:val="18"/>
        </w:rPr>
        <w:t>Tenure refers to the legal arrangements in place that enable a household to live in their home; it determines householder rights and influences the level of payments to be made in return for these rights. Broadly speaking, tenure falls into two cat</w:t>
      </w:r>
      <w:r w:rsidR="00401071">
        <w:rPr>
          <w:sz w:val="18"/>
          <w:szCs w:val="18"/>
        </w:rPr>
        <w:t>egories, Affordable Housing and Market Housing</w:t>
      </w:r>
      <w:r w:rsidRPr="00C378B2">
        <w:rPr>
          <w:sz w:val="18"/>
          <w:szCs w:val="18"/>
        </w:rPr>
        <w:t xml:space="preserve">, depending on whether the household benefits from a subsidy of some sort to enable them to live in their home. </w:t>
      </w:r>
    </w:p>
    <w:p w:rsidR="002C2D5C" w:rsidRPr="00C378B2" w:rsidRDefault="002C2D5C" w:rsidP="00747D45">
      <w:pPr>
        <w:pStyle w:val="ListNumber"/>
        <w:widowControl w:val="0"/>
        <w:jc w:val="both"/>
        <w:rPr>
          <w:sz w:val="18"/>
          <w:szCs w:val="18"/>
        </w:rPr>
      </w:pPr>
      <w:r w:rsidRPr="00C378B2">
        <w:rPr>
          <w:sz w:val="18"/>
          <w:szCs w:val="18"/>
        </w:rPr>
        <w:t xml:space="preserve">This section will examine the tenure of dwellings in the current stock and recent supply. Then, looking at affordability, make an assessment on whether continuation of these trends would meet future needs. </w:t>
      </w:r>
      <w:r w:rsidR="000F3D7C">
        <w:rPr>
          <w:sz w:val="18"/>
          <w:szCs w:val="18"/>
        </w:rPr>
        <w:t>This section</w:t>
      </w:r>
      <w:r w:rsidRPr="00C378B2">
        <w:rPr>
          <w:sz w:val="18"/>
          <w:szCs w:val="18"/>
        </w:rPr>
        <w:t xml:space="preserve"> also investigate</w:t>
      </w:r>
      <w:r w:rsidR="000F3D7C">
        <w:rPr>
          <w:sz w:val="18"/>
          <w:szCs w:val="18"/>
        </w:rPr>
        <w:t>s</w:t>
      </w:r>
      <w:r w:rsidRPr="00C378B2">
        <w:rPr>
          <w:sz w:val="18"/>
          <w:szCs w:val="18"/>
        </w:rPr>
        <w:t xml:space="preserve"> whether there are misalignments between the supply of different tenures of housing and local need. Such misalignments can justify policies that guide new developments to prioritise certain tenures, to bring supply and demand into better alignment.</w:t>
      </w:r>
      <w:r w:rsidRPr="00C378B2">
        <w:rPr>
          <w:rStyle w:val="FootnoteReference"/>
          <w:rFonts w:ascii="Arial" w:hAnsi="Arial"/>
          <w:sz w:val="18"/>
          <w:szCs w:val="18"/>
          <w:lang w:val="en-GB"/>
        </w:rPr>
        <w:footnoteReference w:id="15"/>
      </w:r>
    </w:p>
    <w:p w:rsidR="002C2D5C" w:rsidRDefault="002C2D5C" w:rsidP="002C2D5C">
      <w:pPr>
        <w:pStyle w:val="Heading2"/>
        <w:jc w:val="both"/>
      </w:pPr>
      <w:bookmarkStart w:id="67" w:name="_Toc2690273"/>
      <w:bookmarkStart w:id="68" w:name="_Toc33015852"/>
      <w:bookmarkEnd w:id="64"/>
      <w:r>
        <w:t>Definitions</w:t>
      </w:r>
      <w:bookmarkEnd w:id="67"/>
      <w:bookmarkEnd w:id="68"/>
    </w:p>
    <w:p w:rsidR="002C2D5C" w:rsidRPr="00C378B2" w:rsidRDefault="002C2D5C" w:rsidP="002C2D5C">
      <w:pPr>
        <w:pStyle w:val="ListNumber"/>
        <w:widowControl w:val="0"/>
        <w:jc w:val="both"/>
        <w:rPr>
          <w:sz w:val="18"/>
          <w:szCs w:val="18"/>
        </w:rPr>
      </w:pPr>
      <w:r w:rsidRPr="00C378B2">
        <w:rPr>
          <w:sz w:val="18"/>
          <w:szCs w:val="18"/>
        </w:rPr>
        <w:t>It is necessary at this stage of the study to make clear the distinction between Affordable Housing as planning terminology and the colloquial meaning of the phrase. In the course of this study, we refer to Affordable Hou</w:t>
      </w:r>
      <w:r w:rsidR="00401071">
        <w:rPr>
          <w:sz w:val="18"/>
          <w:szCs w:val="18"/>
        </w:rPr>
        <w:t>sing, abbreviated to ‘AH’. AH comprises</w:t>
      </w:r>
      <w:r w:rsidRPr="00C378B2">
        <w:rPr>
          <w:sz w:val="18"/>
          <w:szCs w:val="18"/>
        </w:rPr>
        <w:t xml:space="preserve"> those forms of housing tenure that fall within the definition of Affordable Housing set out in the current NPPF: social rent, affordable rent, affordable private rent (brought forward by build to rent schemes), and forms of AH designed to offer affordable routes to home ownership.</w:t>
      </w:r>
      <w:r w:rsidRPr="00C378B2">
        <w:rPr>
          <w:rStyle w:val="FootnoteReference"/>
          <w:rFonts w:ascii="Arial" w:hAnsi="Arial"/>
          <w:sz w:val="18"/>
          <w:szCs w:val="18"/>
          <w:lang w:val="en-GB"/>
        </w:rPr>
        <w:footnoteReference w:id="16"/>
      </w:r>
      <w:r w:rsidRPr="00C378B2">
        <w:rPr>
          <w:sz w:val="18"/>
          <w:szCs w:val="18"/>
        </w:rPr>
        <w:t xml:space="preserve"> </w:t>
      </w:r>
    </w:p>
    <w:p w:rsidR="002C2D5C" w:rsidRPr="00C378B2" w:rsidRDefault="002C2D5C" w:rsidP="007E0FF4">
      <w:pPr>
        <w:pStyle w:val="ListNumber"/>
        <w:widowControl w:val="0"/>
        <w:jc w:val="both"/>
        <w:rPr>
          <w:sz w:val="18"/>
          <w:szCs w:val="18"/>
        </w:rPr>
      </w:pPr>
      <w:bookmarkStart w:id="69" w:name="_Hlk19192426"/>
      <w:r w:rsidRPr="00C378B2">
        <w:rPr>
          <w:sz w:val="18"/>
          <w:szCs w:val="18"/>
        </w:rPr>
        <w:t>The definition of Affordable Housing set out in the NPPF makes clear the Government’s commitment to home ownership</w:t>
      </w:r>
      <w:r w:rsidR="007E0FF4">
        <w:rPr>
          <w:sz w:val="18"/>
          <w:szCs w:val="18"/>
        </w:rPr>
        <w:t xml:space="preserve"> (</w:t>
      </w:r>
      <w:r w:rsidR="007E0FF4" w:rsidRPr="00C378B2">
        <w:rPr>
          <w:sz w:val="18"/>
          <w:szCs w:val="18"/>
        </w:rPr>
        <w:t>broad</w:t>
      </w:r>
      <w:r w:rsidR="007E0FF4">
        <w:rPr>
          <w:sz w:val="18"/>
          <w:szCs w:val="18"/>
        </w:rPr>
        <w:t>e</w:t>
      </w:r>
      <w:r w:rsidR="007E0FF4" w:rsidRPr="00C378B2">
        <w:rPr>
          <w:sz w:val="18"/>
          <w:szCs w:val="18"/>
        </w:rPr>
        <w:t>n</w:t>
      </w:r>
      <w:r w:rsidR="007E0FF4">
        <w:rPr>
          <w:sz w:val="18"/>
          <w:szCs w:val="18"/>
        </w:rPr>
        <w:t>ing</w:t>
      </w:r>
      <w:r w:rsidR="007E0FF4" w:rsidRPr="00C378B2">
        <w:rPr>
          <w:sz w:val="18"/>
          <w:szCs w:val="18"/>
        </w:rPr>
        <w:t xml:space="preserve"> the definition of AH </w:t>
      </w:r>
      <w:r w:rsidR="007E0FF4">
        <w:rPr>
          <w:sz w:val="18"/>
          <w:szCs w:val="18"/>
        </w:rPr>
        <w:t xml:space="preserve">which had previously referred only to social and intermediate housing </w:t>
      </w:r>
      <w:r w:rsidR="007E0FF4" w:rsidRPr="00C378B2">
        <w:rPr>
          <w:sz w:val="18"/>
          <w:szCs w:val="18"/>
        </w:rPr>
        <w:t>to include a range of low-cost housing opportunities for those aspiring to own a home</w:t>
      </w:r>
      <w:r w:rsidR="007E0FF4">
        <w:rPr>
          <w:sz w:val="18"/>
          <w:szCs w:val="18"/>
        </w:rPr>
        <w:t>). However, it still</w:t>
      </w:r>
      <w:r w:rsidRPr="00C378B2">
        <w:rPr>
          <w:sz w:val="18"/>
          <w:szCs w:val="18"/>
        </w:rPr>
        <w:t xml:space="preserve"> recognises the important role of social, affordable, and private rent tenures for those not currently seeking home ownership. </w:t>
      </w:r>
    </w:p>
    <w:bookmarkEnd w:id="69"/>
    <w:p w:rsidR="002C2D5C" w:rsidRPr="00C378B2" w:rsidRDefault="002C2D5C" w:rsidP="002C2D5C">
      <w:pPr>
        <w:pStyle w:val="ListNumber"/>
        <w:widowControl w:val="0"/>
        <w:jc w:val="both"/>
        <w:rPr>
          <w:sz w:val="18"/>
          <w:szCs w:val="18"/>
        </w:rPr>
      </w:pPr>
      <w:r w:rsidRPr="00C378B2">
        <w:rPr>
          <w:sz w:val="18"/>
          <w:szCs w:val="18"/>
        </w:rPr>
        <w:t>In paragraph 64 of the NPPF, the Government introduces a recommendation that “</w:t>
      </w:r>
      <w:r w:rsidRPr="00C378B2">
        <w:rPr>
          <w:i/>
          <w:sz w:val="18"/>
          <w:szCs w:val="18"/>
        </w:rPr>
        <w:t>where major housing development is proposed, planning policies and decisions should expect at least 10% of the homes to be available for affordable home ownership”</w:t>
      </w:r>
      <w:r w:rsidRPr="00C378B2">
        <w:rPr>
          <w:sz w:val="18"/>
          <w:szCs w:val="18"/>
        </w:rPr>
        <w:t>. In line with PPG,</w:t>
      </w:r>
      <w:r w:rsidRPr="00C378B2">
        <w:rPr>
          <w:rStyle w:val="FootnoteReference"/>
          <w:rFonts w:ascii="Arial" w:hAnsi="Arial"/>
          <w:sz w:val="18"/>
          <w:szCs w:val="18"/>
          <w:lang w:val="en-GB"/>
        </w:rPr>
        <w:footnoteReference w:id="17"/>
      </w:r>
      <w:r w:rsidRPr="00C378B2">
        <w:rPr>
          <w:sz w:val="18"/>
          <w:szCs w:val="18"/>
        </w:rPr>
        <w:t xml:space="preserve"> the assumption should be that a ‘major housing development’ can be defined as a site of </w:t>
      </w:r>
      <w:r w:rsidR="00D272A0">
        <w:rPr>
          <w:sz w:val="18"/>
          <w:szCs w:val="18"/>
        </w:rPr>
        <w:t>10 dwellings or more</w:t>
      </w:r>
      <w:r w:rsidRPr="00C378B2">
        <w:rPr>
          <w:sz w:val="18"/>
          <w:szCs w:val="18"/>
        </w:rPr>
        <w:t xml:space="preserve">, and that affordable home ownership includes shared ownership homes, and homes available for discount market sale. </w:t>
      </w:r>
    </w:p>
    <w:p w:rsidR="002C2D5C" w:rsidRPr="003A5666" w:rsidRDefault="002C2D5C" w:rsidP="002C2D5C">
      <w:pPr>
        <w:pStyle w:val="Heading2"/>
        <w:jc w:val="both"/>
      </w:pPr>
      <w:bookmarkStart w:id="70" w:name="_Toc521491989"/>
      <w:bookmarkStart w:id="71" w:name="_Toc536797443"/>
      <w:bookmarkStart w:id="72" w:name="_Toc2690274"/>
      <w:bookmarkStart w:id="73" w:name="_Toc33015853"/>
      <w:bookmarkEnd w:id="66"/>
      <w:r w:rsidRPr="003A5666">
        <w:t>Current tenure profile</w:t>
      </w:r>
      <w:bookmarkEnd w:id="70"/>
      <w:bookmarkEnd w:id="71"/>
      <w:bookmarkEnd w:id="72"/>
      <w:bookmarkEnd w:id="73"/>
    </w:p>
    <w:p w:rsidR="002C2D5C" w:rsidRPr="00C378B2" w:rsidRDefault="002C2D5C" w:rsidP="002C2D5C">
      <w:pPr>
        <w:pStyle w:val="ListNumber"/>
        <w:widowControl w:val="0"/>
        <w:jc w:val="both"/>
        <w:rPr>
          <w:sz w:val="18"/>
          <w:szCs w:val="18"/>
        </w:rPr>
      </w:pPr>
      <w:r w:rsidRPr="00C378B2">
        <w:rPr>
          <w:sz w:val="18"/>
          <w:szCs w:val="18"/>
        </w:rPr>
        <w:t xml:space="preserve">In order to set a baseline for </w:t>
      </w:r>
      <w:r w:rsidR="004A24C8">
        <w:rPr>
          <w:sz w:val="18"/>
          <w:szCs w:val="18"/>
        </w:rPr>
        <w:t>the</w:t>
      </w:r>
      <w:r w:rsidR="004A24C8" w:rsidRPr="00C378B2">
        <w:rPr>
          <w:sz w:val="18"/>
          <w:szCs w:val="18"/>
        </w:rPr>
        <w:t xml:space="preserve"> </w:t>
      </w:r>
      <w:r w:rsidRPr="00C378B2">
        <w:rPr>
          <w:sz w:val="18"/>
          <w:szCs w:val="18"/>
        </w:rPr>
        <w:t>examination of tenure, it is n</w:t>
      </w:r>
      <w:r w:rsidR="005F50BC">
        <w:rPr>
          <w:sz w:val="18"/>
          <w:szCs w:val="18"/>
        </w:rPr>
        <w:t>ecessary to present a picture of</w:t>
      </w:r>
      <w:r w:rsidRPr="00C378B2">
        <w:rPr>
          <w:sz w:val="18"/>
          <w:szCs w:val="18"/>
        </w:rPr>
        <w:t xml:space="preserve"> </w:t>
      </w:r>
      <w:r w:rsidR="005F50BC">
        <w:rPr>
          <w:sz w:val="18"/>
          <w:szCs w:val="18"/>
        </w:rPr>
        <w:t xml:space="preserve">the </w:t>
      </w:r>
      <w:r w:rsidR="00703761">
        <w:rPr>
          <w:sz w:val="18"/>
          <w:szCs w:val="18"/>
        </w:rPr>
        <w:t xml:space="preserve">Neighbourhood </w:t>
      </w:r>
      <w:r w:rsidR="005F50BC">
        <w:rPr>
          <w:sz w:val="18"/>
          <w:szCs w:val="18"/>
        </w:rPr>
        <w:t>Plan area</w:t>
      </w:r>
      <w:r w:rsidRPr="00C378B2">
        <w:rPr>
          <w:sz w:val="18"/>
          <w:szCs w:val="18"/>
        </w:rPr>
        <w:t xml:space="preserve"> based on the most recent reliable data. </w:t>
      </w:r>
      <w:fldSimple w:instr=" REF _Ref2330296 \h  \* MERGEFORMAT ">
        <w:r w:rsidR="00E14AFB" w:rsidRPr="004B77D6">
          <w:rPr>
            <w:sz w:val="18"/>
            <w:szCs w:val="18"/>
          </w:rPr>
          <w:t xml:space="preserve">Table </w:t>
        </w:r>
        <w:r w:rsidR="00E14AFB">
          <w:rPr>
            <w:noProof/>
            <w:sz w:val="18"/>
            <w:szCs w:val="18"/>
          </w:rPr>
          <w:t>5</w:t>
        </w:r>
        <w:r w:rsidR="00E14AFB" w:rsidRPr="004B77D6">
          <w:rPr>
            <w:noProof/>
            <w:sz w:val="18"/>
            <w:szCs w:val="18"/>
          </w:rPr>
          <w:noBreakHyphen/>
        </w:r>
        <w:r w:rsidR="00E14AFB">
          <w:rPr>
            <w:noProof/>
            <w:sz w:val="18"/>
            <w:szCs w:val="18"/>
          </w:rPr>
          <w:t>1</w:t>
        </w:r>
      </w:fldSimple>
      <w:r w:rsidR="005F50BC">
        <w:rPr>
          <w:sz w:val="18"/>
          <w:szCs w:val="18"/>
        </w:rPr>
        <w:t xml:space="preserve"> below presents C</w:t>
      </w:r>
      <w:r w:rsidRPr="00C378B2">
        <w:rPr>
          <w:sz w:val="18"/>
          <w:szCs w:val="18"/>
        </w:rPr>
        <w:t xml:space="preserve">ensus data from 2011; this table shows the distribution of how households occupy their homes within </w:t>
      </w:r>
      <w:r w:rsidR="005E5D0C">
        <w:rPr>
          <w:sz w:val="18"/>
          <w:szCs w:val="18"/>
        </w:rPr>
        <w:t>Reedham</w:t>
      </w:r>
      <w:r w:rsidRPr="00C378B2">
        <w:rPr>
          <w:sz w:val="18"/>
          <w:szCs w:val="18"/>
        </w:rPr>
        <w:t xml:space="preserve">, compared to the rest of </w:t>
      </w:r>
      <w:r w:rsidR="00EE5CD5">
        <w:rPr>
          <w:sz w:val="18"/>
          <w:szCs w:val="18"/>
        </w:rPr>
        <w:t>Broadland</w:t>
      </w:r>
      <w:r w:rsidRPr="00C378B2">
        <w:rPr>
          <w:sz w:val="18"/>
          <w:szCs w:val="18"/>
        </w:rPr>
        <w:t xml:space="preserve"> and England. </w:t>
      </w:r>
    </w:p>
    <w:p w:rsidR="002C2D5C" w:rsidRPr="00C378B2" w:rsidRDefault="00887FF3" w:rsidP="002C2D5C">
      <w:pPr>
        <w:pStyle w:val="ListNumber"/>
        <w:widowControl w:val="0"/>
        <w:jc w:val="both"/>
        <w:rPr>
          <w:sz w:val="18"/>
          <w:szCs w:val="18"/>
        </w:rPr>
      </w:pPr>
      <w:r>
        <w:rPr>
          <w:sz w:val="18"/>
          <w:szCs w:val="18"/>
        </w:rPr>
        <w:t>At present home ownership is the most popular form of tenure in Reedham</w:t>
      </w:r>
      <w:r w:rsidR="003307BD">
        <w:rPr>
          <w:sz w:val="18"/>
          <w:szCs w:val="18"/>
        </w:rPr>
        <w:t xml:space="preserve">, followed by Social Rented and then Private Rented accommodation. Shared ownership is the least </w:t>
      </w:r>
      <w:r w:rsidR="00DB4D40">
        <w:rPr>
          <w:sz w:val="18"/>
          <w:szCs w:val="18"/>
        </w:rPr>
        <w:t xml:space="preserve">common </w:t>
      </w:r>
      <w:r w:rsidR="003307BD">
        <w:rPr>
          <w:sz w:val="18"/>
          <w:szCs w:val="18"/>
        </w:rPr>
        <w:t>form of tenure in Reedham.</w:t>
      </w:r>
      <w:r w:rsidR="00DB4D40">
        <w:rPr>
          <w:sz w:val="18"/>
          <w:szCs w:val="18"/>
        </w:rPr>
        <w:t xml:space="preserve"> There is currently a lower proportion of home ownership in Reedham than Broadland, but Reedham’s proportion of social renting is nearly double that of the wider district.</w:t>
      </w:r>
    </w:p>
    <w:p w:rsidR="002C2D5C" w:rsidRPr="003A5666" w:rsidRDefault="002C2D5C" w:rsidP="002C2D5C">
      <w:pPr>
        <w:jc w:val="both"/>
        <w:rPr>
          <w:rFonts w:asciiTheme="majorHAnsi" w:hAnsiTheme="majorHAnsi"/>
          <w:color w:val="00B5E2" w:themeColor="accent1"/>
          <w:sz w:val="20"/>
        </w:rPr>
      </w:pPr>
      <w:bookmarkStart w:id="74" w:name="_Ref520907681"/>
      <w:r w:rsidRPr="003A5666">
        <w:br w:type="page"/>
      </w:r>
    </w:p>
    <w:p w:rsidR="002C2D5C" w:rsidRPr="004B77D6" w:rsidRDefault="002C2D5C" w:rsidP="002C2D5C">
      <w:pPr>
        <w:pStyle w:val="Caption"/>
        <w:spacing w:after="0"/>
        <w:jc w:val="both"/>
        <w:rPr>
          <w:sz w:val="18"/>
          <w:szCs w:val="18"/>
        </w:rPr>
      </w:pPr>
      <w:bookmarkStart w:id="75" w:name="_Ref2330296"/>
      <w:bookmarkEnd w:id="74"/>
      <w:r w:rsidRPr="004B77D6">
        <w:rPr>
          <w:sz w:val="18"/>
          <w:szCs w:val="18"/>
        </w:rPr>
        <w:lastRenderedPageBreak/>
        <w:t xml:space="preserve">Table </w:t>
      </w:r>
      <w:r w:rsidR="001A69AC" w:rsidRPr="004B77D6">
        <w:rPr>
          <w:noProof/>
          <w:sz w:val="18"/>
          <w:szCs w:val="18"/>
        </w:rPr>
        <w:fldChar w:fldCharType="begin"/>
      </w:r>
      <w:r w:rsidRPr="004B77D6">
        <w:rPr>
          <w:noProof/>
          <w:sz w:val="18"/>
          <w:szCs w:val="18"/>
        </w:rPr>
        <w:instrText xml:space="preserve"> STYLEREF 1 \s </w:instrText>
      </w:r>
      <w:r w:rsidR="001A69AC" w:rsidRPr="004B77D6">
        <w:rPr>
          <w:noProof/>
          <w:sz w:val="18"/>
          <w:szCs w:val="18"/>
        </w:rPr>
        <w:fldChar w:fldCharType="separate"/>
      </w:r>
      <w:r w:rsidR="00E14AFB">
        <w:rPr>
          <w:noProof/>
          <w:sz w:val="18"/>
          <w:szCs w:val="18"/>
        </w:rPr>
        <w:t>5</w:t>
      </w:r>
      <w:r w:rsidR="001A69AC" w:rsidRPr="004B77D6">
        <w:rPr>
          <w:noProof/>
          <w:sz w:val="18"/>
          <w:szCs w:val="18"/>
        </w:rPr>
        <w:fldChar w:fldCharType="end"/>
      </w:r>
      <w:r w:rsidRPr="004B77D6">
        <w:rPr>
          <w:sz w:val="18"/>
          <w:szCs w:val="18"/>
        </w:rPr>
        <w:noBreakHyphen/>
      </w:r>
      <w:r w:rsidR="001A69AC" w:rsidRPr="004B77D6">
        <w:rPr>
          <w:noProof/>
          <w:sz w:val="18"/>
          <w:szCs w:val="18"/>
        </w:rPr>
        <w:fldChar w:fldCharType="begin"/>
      </w:r>
      <w:r w:rsidRPr="004B77D6">
        <w:rPr>
          <w:noProof/>
          <w:sz w:val="18"/>
          <w:szCs w:val="18"/>
        </w:rPr>
        <w:instrText xml:space="preserve"> SEQ Table \* ARABIC \s 1 </w:instrText>
      </w:r>
      <w:r w:rsidR="001A69AC" w:rsidRPr="004B77D6">
        <w:rPr>
          <w:noProof/>
          <w:sz w:val="18"/>
          <w:szCs w:val="18"/>
        </w:rPr>
        <w:fldChar w:fldCharType="separate"/>
      </w:r>
      <w:r w:rsidR="00E14AFB">
        <w:rPr>
          <w:noProof/>
          <w:sz w:val="18"/>
          <w:szCs w:val="18"/>
        </w:rPr>
        <w:t>1</w:t>
      </w:r>
      <w:r w:rsidR="001A69AC" w:rsidRPr="004B77D6">
        <w:rPr>
          <w:noProof/>
          <w:sz w:val="18"/>
          <w:szCs w:val="18"/>
        </w:rPr>
        <w:fldChar w:fldCharType="end"/>
      </w:r>
      <w:bookmarkEnd w:id="75"/>
      <w:r w:rsidRPr="004B77D6">
        <w:rPr>
          <w:sz w:val="18"/>
          <w:szCs w:val="18"/>
        </w:rPr>
        <w:t xml:space="preserve">: Tenure (households) in </w:t>
      </w:r>
      <w:r w:rsidR="00A85D16">
        <w:rPr>
          <w:sz w:val="18"/>
          <w:szCs w:val="18"/>
        </w:rPr>
        <w:t>Reedham</w:t>
      </w:r>
      <w:r w:rsidRPr="004B77D6">
        <w:rPr>
          <w:sz w:val="18"/>
          <w:szCs w:val="18"/>
        </w:rPr>
        <w:t>, 2011</w:t>
      </w:r>
    </w:p>
    <w:tbl>
      <w:tblPr>
        <w:tblW w:w="4794" w:type="pct"/>
        <w:tblInd w:w="416" w:type="dxa"/>
        <w:tblLook w:val="04A0"/>
      </w:tblPr>
      <w:tblGrid>
        <w:gridCol w:w="2890"/>
        <w:gridCol w:w="2149"/>
        <w:gridCol w:w="2581"/>
        <w:gridCol w:w="2016"/>
      </w:tblGrid>
      <w:tr w:rsidR="002C2D5C" w:rsidRPr="003A5666" w:rsidTr="00C378B2">
        <w:trPr>
          <w:trHeight w:val="288"/>
        </w:trPr>
        <w:tc>
          <w:tcPr>
            <w:tcW w:w="1500" w:type="pct"/>
            <w:tcBorders>
              <w:top w:val="single" w:sz="8" w:space="0" w:color="auto"/>
              <w:left w:val="single" w:sz="8" w:space="0" w:color="auto"/>
              <w:bottom w:val="single" w:sz="4" w:space="0" w:color="auto"/>
              <w:right w:val="single" w:sz="4" w:space="0" w:color="auto"/>
            </w:tcBorders>
            <w:shd w:val="clear" w:color="auto" w:fill="000000" w:themeFill="text1"/>
            <w:noWrap/>
            <w:vAlign w:val="center"/>
            <w:hideMark/>
          </w:tcPr>
          <w:p w:rsidR="002C2D5C" w:rsidRPr="00803F9A" w:rsidRDefault="002C2D5C" w:rsidP="00C378B2">
            <w:pPr>
              <w:spacing w:after="0"/>
              <w:jc w:val="both"/>
              <w:rPr>
                <w:b/>
                <w:color w:val="FFFFFF" w:themeColor="background2"/>
                <w:sz w:val="18"/>
                <w:szCs w:val="18"/>
              </w:rPr>
            </w:pPr>
            <w:r w:rsidRPr="00803F9A">
              <w:rPr>
                <w:b/>
                <w:color w:val="FFFFFF" w:themeColor="background2"/>
                <w:sz w:val="18"/>
                <w:szCs w:val="18"/>
              </w:rPr>
              <w:t>Tenure</w:t>
            </w:r>
          </w:p>
        </w:tc>
        <w:tc>
          <w:tcPr>
            <w:tcW w:w="1115" w:type="pct"/>
            <w:tcBorders>
              <w:top w:val="single" w:sz="8" w:space="0" w:color="auto"/>
              <w:left w:val="nil"/>
              <w:bottom w:val="single" w:sz="4" w:space="0" w:color="auto"/>
              <w:right w:val="single" w:sz="4" w:space="0" w:color="auto"/>
            </w:tcBorders>
            <w:shd w:val="clear" w:color="auto" w:fill="000000" w:themeFill="text1"/>
            <w:noWrap/>
            <w:vAlign w:val="center"/>
            <w:hideMark/>
          </w:tcPr>
          <w:p w:rsidR="002C2D5C" w:rsidRPr="00803F9A" w:rsidRDefault="00A85D16" w:rsidP="00C378B2">
            <w:pPr>
              <w:spacing w:after="0"/>
              <w:jc w:val="both"/>
              <w:rPr>
                <w:b/>
                <w:bCs/>
                <w:color w:val="FFFFFF" w:themeColor="background2"/>
                <w:sz w:val="18"/>
                <w:szCs w:val="18"/>
              </w:rPr>
            </w:pPr>
            <w:r>
              <w:rPr>
                <w:b/>
                <w:bCs/>
                <w:color w:val="FFFFFF" w:themeColor="background2"/>
                <w:sz w:val="18"/>
                <w:szCs w:val="18"/>
              </w:rPr>
              <w:t>Reedham</w:t>
            </w:r>
          </w:p>
        </w:tc>
        <w:tc>
          <w:tcPr>
            <w:tcW w:w="1339" w:type="pct"/>
            <w:tcBorders>
              <w:top w:val="single" w:sz="8" w:space="0" w:color="auto"/>
              <w:left w:val="nil"/>
              <w:bottom w:val="single" w:sz="4" w:space="0" w:color="auto"/>
              <w:right w:val="single" w:sz="4" w:space="0" w:color="auto"/>
            </w:tcBorders>
            <w:shd w:val="clear" w:color="auto" w:fill="000000" w:themeFill="text1"/>
            <w:noWrap/>
            <w:vAlign w:val="center"/>
            <w:hideMark/>
          </w:tcPr>
          <w:p w:rsidR="002C2D5C" w:rsidRPr="00803F9A" w:rsidRDefault="00A85D16" w:rsidP="00C378B2">
            <w:pPr>
              <w:spacing w:after="0"/>
              <w:jc w:val="both"/>
              <w:rPr>
                <w:b/>
                <w:bCs/>
                <w:color w:val="FFFFFF" w:themeColor="background2"/>
                <w:sz w:val="18"/>
                <w:szCs w:val="18"/>
              </w:rPr>
            </w:pPr>
            <w:r>
              <w:rPr>
                <w:b/>
                <w:bCs/>
                <w:color w:val="FFFFFF" w:themeColor="background2"/>
                <w:sz w:val="18"/>
                <w:szCs w:val="18"/>
              </w:rPr>
              <w:t>Broadland</w:t>
            </w:r>
          </w:p>
        </w:tc>
        <w:tc>
          <w:tcPr>
            <w:tcW w:w="1046" w:type="pct"/>
            <w:tcBorders>
              <w:top w:val="single" w:sz="8" w:space="0" w:color="auto"/>
              <w:left w:val="nil"/>
              <w:bottom w:val="single" w:sz="4" w:space="0" w:color="auto"/>
              <w:right w:val="single" w:sz="8" w:space="0" w:color="auto"/>
            </w:tcBorders>
            <w:shd w:val="clear" w:color="auto" w:fill="000000" w:themeFill="text1"/>
            <w:noWrap/>
            <w:vAlign w:val="center"/>
            <w:hideMark/>
          </w:tcPr>
          <w:p w:rsidR="002C2D5C" w:rsidRPr="00803F9A" w:rsidRDefault="00A85D16" w:rsidP="00C378B2">
            <w:pPr>
              <w:spacing w:after="0"/>
              <w:jc w:val="both"/>
              <w:rPr>
                <w:b/>
                <w:bCs/>
                <w:color w:val="FFFFFF" w:themeColor="background2"/>
                <w:sz w:val="18"/>
                <w:szCs w:val="18"/>
              </w:rPr>
            </w:pPr>
            <w:r>
              <w:rPr>
                <w:b/>
                <w:bCs/>
                <w:color w:val="FFFFFF" w:themeColor="background2"/>
                <w:sz w:val="18"/>
                <w:szCs w:val="18"/>
              </w:rPr>
              <w:t>England</w:t>
            </w:r>
          </w:p>
        </w:tc>
      </w:tr>
      <w:tr w:rsidR="002C2D5C" w:rsidRPr="003A5666" w:rsidTr="00C378B2">
        <w:trPr>
          <w:trHeight w:val="288"/>
        </w:trPr>
        <w:tc>
          <w:tcPr>
            <w:tcW w:w="1500" w:type="pct"/>
            <w:tcBorders>
              <w:top w:val="nil"/>
              <w:left w:val="single" w:sz="8" w:space="0" w:color="auto"/>
              <w:bottom w:val="single" w:sz="4" w:space="0" w:color="auto"/>
              <w:right w:val="single" w:sz="4" w:space="0" w:color="auto"/>
            </w:tcBorders>
            <w:shd w:val="clear" w:color="auto" w:fill="auto"/>
            <w:noWrap/>
            <w:vAlign w:val="center"/>
            <w:hideMark/>
          </w:tcPr>
          <w:p w:rsidR="002C2D5C" w:rsidRPr="00803F9A" w:rsidRDefault="002C2D5C" w:rsidP="00C378B2">
            <w:pPr>
              <w:spacing w:after="0"/>
              <w:jc w:val="both"/>
              <w:rPr>
                <w:sz w:val="18"/>
                <w:szCs w:val="18"/>
              </w:rPr>
            </w:pPr>
            <w:r w:rsidRPr="00803F9A">
              <w:rPr>
                <w:sz w:val="18"/>
                <w:szCs w:val="18"/>
              </w:rPr>
              <w:t>Owned; total</w:t>
            </w:r>
          </w:p>
        </w:tc>
        <w:tc>
          <w:tcPr>
            <w:tcW w:w="1115" w:type="pct"/>
            <w:tcBorders>
              <w:top w:val="nil"/>
              <w:left w:val="nil"/>
              <w:bottom w:val="single" w:sz="4" w:space="0" w:color="auto"/>
              <w:right w:val="single" w:sz="4" w:space="0" w:color="auto"/>
            </w:tcBorders>
            <w:shd w:val="clear" w:color="auto" w:fill="auto"/>
            <w:noWrap/>
            <w:vAlign w:val="center"/>
          </w:tcPr>
          <w:p w:rsidR="002C2D5C" w:rsidRPr="00803F9A" w:rsidRDefault="00A85D16" w:rsidP="00C378B2">
            <w:pPr>
              <w:spacing w:after="0"/>
              <w:jc w:val="both"/>
              <w:rPr>
                <w:rFonts w:cstheme="minorHAnsi"/>
                <w:sz w:val="18"/>
                <w:szCs w:val="18"/>
              </w:rPr>
            </w:pPr>
            <w:r>
              <w:rPr>
                <w:rFonts w:cstheme="minorHAnsi"/>
                <w:sz w:val="18"/>
                <w:szCs w:val="18"/>
              </w:rPr>
              <w:t>70.3%</w:t>
            </w:r>
          </w:p>
        </w:tc>
        <w:tc>
          <w:tcPr>
            <w:tcW w:w="1339" w:type="pct"/>
            <w:tcBorders>
              <w:top w:val="nil"/>
              <w:left w:val="nil"/>
              <w:bottom w:val="single" w:sz="4" w:space="0" w:color="auto"/>
              <w:right w:val="single" w:sz="4" w:space="0" w:color="auto"/>
            </w:tcBorders>
            <w:shd w:val="clear" w:color="auto" w:fill="auto"/>
            <w:noWrap/>
            <w:vAlign w:val="center"/>
          </w:tcPr>
          <w:p w:rsidR="002C2D5C" w:rsidRPr="00803F9A" w:rsidRDefault="00A85D16" w:rsidP="00C378B2">
            <w:pPr>
              <w:spacing w:after="0"/>
              <w:jc w:val="both"/>
              <w:rPr>
                <w:rFonts w:cstheme="minorHAnsi"/>
                <w:sz w:val="18"/>
                <w:szCs w:val="18"/>
              </w:rPr>
            </w:pPr>
            <w:r>
              <w:rPr>
                <w:rFonts w:cstheme="minorHAnsi"/>
                <w:sz w:val="18"/>
                <w:szCs w:val="18"/>
              </w:rPr>
              <w:t>79.4%</w:t>
            </w:r>
          </w:p>
        </w:tc>
        <w:tc>
          <w:tcPr>
            <w:tcW w:w="1046" w:type="pct"/>
            <w:tcBorders>
              <w:top w:val="nil"/>
              <w:left w:val="nil"/>
              <w:bottom w:val="single" w:sz="4" w:space="0" w:color="auto"/>
              <w:right w:val="single" w:sz="8" w:space="0" w:color="auto"/>
            </w:tcBorders>
            <w:shd w:val="clear" w:color="auto" w:fill="auto"/>
            <w:noWrap/>
            <w:vAlign w:val="center"/>
          </w:tcPr>
          <w:p w:rsidR="002C2D5C" w:rsidRPr="00803F9A" w:rsidRDefault="00A85D16" w:rsidP="00C378B2">
            <w:pPr>
              <w:spacing w:after="0"/>
              <w:jc w:val="both"/>
              <w:rPr>
                <w:rFonts w:cstheme="minorHAnsi"/>
                <w:sz w:val="18"/>
                <w:szCs w:val="18"/>
              </w:rPr>
            </w:pPr>
            <w:r>
              <w:rPr>
                <w:rFonts w:cstheme="minorHAnsi"/>
                <w:sz w:val="18"/>
                <w:szCs w:val="18"/>
              </w:rPr>
              <w:t>63.3%</w:t>
            </w:r>
          </w:p>
        </w:tc>
      </w:tr>
      <w:tr w:rsidR="002C2D5C" w:rsidRPr="003A5666" w:rsidTr="00C378B2">
        <w:trPr>
          <w:trHeight w:val="288"/>
        </w:trPr>
        <w:tc>
          <w:tcPr>
            <w:tcW w:w="1500" w:type="pct"/>
            <w:tcBorders>
              <w:top w:val="nil"/>
              <w:left w:val="single" w:sz="8" w:space="0" w:color="auto"/>
              <w:bottom w:val="single" w:sz="4" w:space="0" w:color="auto"/>
              <w:right w:val="single" w:sz="4" w:space="0" w:color="auto"/>
            </w:tcBorders>
            <w:shd w:val="clear" w:color="auto" w:fill="auto"/>
            <w:noWrap/>
            <w:vAlign w:val="center"/>
            <w:hideMark/>
          </w:tcPr>
          <w:p w:rsidR="002C2D5C" w:rsidRPr="00803F9A" w:rsidRDefault="002C2D5C" w:rsidP="00C378B2">
            <w:pPr>
              <w:spacing w:after="0"/>
              <w:jc w:val="both"/>
              <w:rPr>
                <w:sz w:val="18"/>
                <w:szCs w:val="18"/>
              </w:rPr>
            </w:pPr>
            <w:r w:rsidRPr="00803F9A">
              <w:rPr>
                <w:sz w:val="18"/>
                <w:szCs w:val="18"/>
              </w:rPr>
              <w:t xml:space="preserve">Shared ownership </w:t>
            </w:r>
          </w:p>
        </w:tc>
        <w:tc>
          <w:tcPr>
            <w:tcW w:w="1115" w:type="pct"/>
            <w:tcBorders>
              <w:top w:val="nil"/>
              <w:left w:val="nil"/>
              <w:bottom w:val="single" w:sz="4" w:space="0" w:color="auto"/>
              <w:right w:val="single" w:sz="4" w:space="0" w:color="auto"/>
            </w:tcBorders>
            <w:shd w:val="clear" w:color="auto" w:fill="auto"/>
            <w:noWrap/>
            <w:vAlign w:val="center"/>
          </w:tcPr>
          <w:p w:rsidR="002C2D5C" w:rsidRPr="00803F9A" w:rsidRDefault="00A85D16" w:rsidP="00C378B2">
            <w:pPr>
              <w:spacing w:after="0"/>
              <w:jc w:val="both"/>
              <w:rPr>
                <w:rFonts w:cstheme="minorHAnsi"/>
                <w:sz w:val="18"/>
                <w:szCs w:val="18"/>
              </w:rPr>
            </w:pPr>
            <w:r>
              <w:rPr>
                <w:rFonts w:cstheme="minorHAnsi"/>
                <w:sz w:val="18"/>
                <w:szCs w:val="18"/>
              </w:rPr>
              <w:t>0.8%</w:t>
            </w:r>
          </w:p>
        </w:tc>
        <w:tc>
          <w:tcPr>
            <w:tcW w:w="1339" w:type="pct"/>
            <w:tcBorders>
              <w:top w:val="nil"/>
              <w:left w:val="nil"/>
              <w:bottom w:val="single" w:sz="4" w:space="0" w:color="auto"/>
              <w:right w:val="single" w:sz="4" w:space="0" w:color="auto"/>
            </w:tcBorders>
            <w:shd w:val="clear" w:color="auto" w:fill="auto"/>
            <w:noWrap/>
            <w:vAlign w:val="center"/>
          </w:tcPr>
          <w:p w:rsidR="002C2D5C" w:rsidRPr="00803F9A" w:rsidRDefault="00A85D16" w:rsidP="00C378B2">
            <w:pPr>
              <w:spacing w:after="0"/>
              <w:jc w:val="both"/>
              <w:rPr>
                <w:rFonts w:cstheme="minorHAnsi"/>
                <w:sz w:val="18"/>
                <w:szCs w:val="18"/>
              </w:rPr>
            </w:pPr>
            <w:r>
              <w:rPr>
                <w:rFonts w:cstheme="minorHAnsi"/>
                <w:sz w:val="18"/>
                <w:szCs w:val="18"/>
              </w:rPr>
              <w:t>0.6%</w:t>
            </w:r>
          </w:p>
        </w:tc>
        <w:tc>
          <w:tcPr>
            <w:tcW w:w="1046" w:type="pct"/>
            <w:tcBorders>
              <w:top w:val="nil"/>
              <w:left w:val="nil"/>
              <w:bottom w:val="single" w:sz="4" w:space="0" w:color="auto"/>
              <w:right w:val="single" w:sz="8" w:space="0" w:color="auto"/>
            </w:tcBorders>
            <w:shd w:val="clear" w:color="auto" w:fill="auto"/>
            <w:noWrap/>
            <w:vAlign w:val="center"/>
          </w:tcPr>
          <w:p w:rsidR="002C2D5C" w:rsidRPr="00803F9A" w:rsidRDefault="00A85D16" w:rsidP="00C378B2">
            <w:pPr>
              <w:spacing w:after="0"/>
              <w:jc w:val="both"/>
              <w:rPr>
                <w:rFonts w:cstheme="minorHAnsi"/>
                <w:sz w:val="18"/>
                <w:szCs w:val="18"/>
              </w:rPr>
            </w:pPr>
            <w:r>
              <w:rPr>
                <w:rFonts w:cstheme="minorHAnsi"/>
                <w:sz w:val="18"/>
                <w:szCs w:val="18"/>
              </w:rPr>
              <w:t>0.8%</w:t>
            </w:r>
          </w:p>
        </w:tc>
      </w:tr>
      <w:tr w:rsidR="002C2D5C" w:rsidRPr="009F7639" w:rsidTr="00C378B2">
        <w:trPr>
          <w:trHeight w:val="288"/>
        </w:trPr>
        <w:tc>
          <w:tcPr>
            <w:tcW w:w="1500" w:type="pct"/>
            <w:tcBorders>
              <w:top w:val="nil"/>
              <w:left w:val="single" w:sz="8" w:space="0" w:color="auto"/>
              <w:bottom w:val="single" w:sz="4" w:space="0" w:color="auto"/>
              <w:right w:val="single" w:sz="4" w:space="0" w:color="auto"/>
            </w:tcBorders>
            <w:shd w:val="clear" w:color="auto" w:fill="auto"/>
            <w:noWrap/>
            <w:vAlign w:val="center"/>
            <w:hideMark/>
          </w:tcPr>
          <w:p w:rsidR="002C2D5C" w:rsidRPr="00803F9A" w:rsidRDefault="002C2D5C" w:rsidP="00C378B2">
            <w:pPr>
              <w:spacing w:after="0"/>
              <w:jc w:val="both"/>
              <w:rPr>
                <w:sz w:val="18"/>
                <w:szCs w:val="18"/>
              </w:rPr>
            </w:pPr>
            <w:r w:rsidRPr="00803F9A">
              <w:rPr>
                <w:sz w:val="18"/>
                <w:szCs w:val="18"/>
              </w:rPr>
              <w:t>Social rented; total</w:t>
            </w:r>
          </w:p>
        </w:tc>
        <w:tc>
          <w:tcPr>
            <w:tcW w:w="1115" w:type="pct"/>
            <w:tcBorders>
              <w:top w:val="nil"/>
              <w:left w:val="nil"/>
              <w:bottom w:val="single" w:sz="4" w:space="0" w:color="auto"/>
              <w:right w:val="single" w:sz="4" w:space="0" w:color="auto"/>
            </w:tcBorders>
            <w:shd w:val="clear" w:color="auto" w:fill="auto"/>
            <w:noWrap/>
            <w:vAlign w:val="center"/>
          </w:tcPr>
          <w:p w:rsidR="002C2D5C" w:rsidRPr="00803F9A" w:rsidRDefault="00A85D16" w:rsidP="00C378B2">
            <w:pPr>
              <w:spacing w:after="0"/>
              <w:jc w:val="both"/>
              <w:rPr>
                <w:rFonts w:cstheme="minorHAnsi"/>
                <w:sz w:val="18"/>
                <w:szCs w:val="18"/>
              </w:rPr>
            </w:pPr>
            <w:r>
              <w:rPr>
                <w:rFonts w:cstheme="minorHAnsi"/>
                <w:sz w:val="18"/>
                <w:szCs w:val="18"/>
              </w:rPr>
              <w:t>14.7%</w:t>
            </w:r>
          </w:p>
        </w:tc>
        <w:tc>
          <w:tcPr>
            <w:tcW w:w="1339" w:type="pct"/>
            <w:tcBorders>
              <w:top w:val="nil"/>
              <w:left w:val="nil"/>
              <w:bottom w:val="single" w:sz="4" w:space="0" w:color="auto"/>
              <w:right w:val="single" w:sz="4" w:space="0" w:color="auto"/>
            </w:tcBorders>
            <w:shd w:val="clear" w:color="auto" w:fill="auto"/>
            <w:noWrap/>
            <w:vAlign w:val="center"/>
          </w:tcPr>
          <w:p w:rsidR="002C2D5C" w:rsidRPr="00803F9A" w:rsidRDefault="00A85D16" w:rsidP="00C378B2">
            <w:pPr>
              <w:spacing w:after="0"/>
              <w:jc w:val="both"/>
              <w:rPr>
                <w:rFonts w:cstheme="minorHAnsi"/>
                <w:sz w:val="18"/>
                <w:szCs w:val="18"/>
              </w:rPr>
            </w:pPr>
            <w:r>
              <w:rPr>
                <w:rFonts w:cstheme="minorHAnsi"/>
                <w:sz w:val="18"/>
                <w:szCs w:val="18"/>
              </w:rPr>
              <w:t>8.6%</w:t>
            </w:r>
          </w:p>
        </w:tc>
        <w:tc>
          <w:tcPr>
            <w:tcW w:w="1046" w:type="pct"/>
            <w:tcBorders>
              <w:top w:val="nil"/>
              <w:left w:val="nil"/>
              <w:bottom w:val="single" w:sz="4" w:space="0" w:color="auto"/>
              <w:right w:val="single" w:sz="8" w:space="0" w:color="auto"/>
            </w:tcBorders>
            <w:shd w:val="clear" w:color="auto" w:fill="auto"/>
            <w:noWrap/>
            <w:vAlign w:val="center"/>
          </w:tcPr>
          <w:p w:rsidR="002C2D5C" w:rsidRPr="00803F9A" w:rsidRDefault="00A85D16" w:rsidP="00C378B2">
            <w:pPr>
              <w:spacing w:after="0"/>
              <w:jc w:val="both"/>
              <w:rPr>
                <w:rFonts w:cstheme="minorHAnsi"/>
                <w:sz w:val="18"/>
                <w:szCs w:val="18"/>
              </w:rPr>
            </w:pPr>
            <w:r>
              <w:rPr>
                <w:rFonts w:cstheme="minorHAnsi"/>
                <w:sz w:val="18"/>
                <w:szCs w:val="18"/>
              </w:rPr>
              <w:t>17.7%</w:t>
            </w:r>
          </w:p>
        </w:tc>
      </w:tr>
      <w:tr w:rsidR="002C2D5C" w:rsidRPr="009F7639" w:rsidTr="00C378B2">
        <w:trPr>
          <w:trHeight w:val="300"/>
        </w:trPr>
        <w:tc>
          <w:tcPr>
            <w:tcW w:w="1500" w:type="pct"/>
            <w:tcBorders>
              <w:top w:val="nil"/>
              <w:left w:val="single" w:sz="8" w:space="0" w:color="auto"/>
              <w:bottom w:val="single" w:sz="8" w:space="0" w:color="auto"/>
              <w:right w:val="single" w:sz="4" w:space="0" w:color="auto"/>
            </w:tcBorders>
            <w:shd w:val="clear" w:color="auto" w:fill="auto"/>
            <w:noWrap/>
            <w:vAlign w:val="center"/>
            <w:hideMark/>
          </w:tcPr>
          <w:p w:rsidR="002C2D5C" w:rsidRPr="00803F9A" w:rsidRDefault="002C2D5C" w:rsidP="00C378B2">
            <w:pPr>
              <w:spacing w:after="0"/>
              <w:jc w:val="both"/>
              <w:rPr>
                <w:sz w:val="18"/>
                <w:szCs w:val="18"/>
              </w:rPr>
            </w:pPr>
            <w:r w:rsidRPr="00803F9A">
              <w:rPr>
                <w:sz w:val="18"/>
                <w:szCs w:val="18"/>
              </w:rPr>
              <w:t>Private rented; total</w:t>
            </w:r>
          </w:p>
        </w:tc>
        <w:tc>
          <w:tcPr>
            <w:tcW w:w="1115" w:type="pct"/>
            <w:tcBorders>
              <w:top w:val="nil"/>
              <w:left w:val="nil"/>
              <w:bottom w:val="single" w:sz="8" w:space="0" w:color="auto"/>
              <w:right w:val="single" w:sz="4" w:space="0" w:color="auto"/>
            </w:tcBorders>
            <w:shd w:val="clear" w:color="auto" w:fill="auto"/>
            <w:noWrap/>
            <w:vAlign w:val="center"/>
          </w:tcPr>
          <w:p w:rsidR="002C2D5C" w:rsidRPr="00803F9A" w:rsidRDefault="00A85D16" w:rsidP="00C378B2">
            <w:pPr>
              <w:spacing w:after="0"/>
              <w:jc w:val="both"/>
              <w:rPr>
                <w:rFonts w:cstheme="minorHAnsi"/>
                <w:sz w:val="18"/>
                <w:szCs w:val="18"/>
              </w:rPr>
            </w:pPr>
            <w:r>
              <w:rPr>
                <w:rFonts w:cstheme="minorHAnsi"/>
                <w:sz w:val="18"/>
                <w:szCs w:val="18"/>
              </w:rPr>
              <w:t>12.5%</w:t>
            </w:r>
          </w:p>
        </w:tc>
        <w:tc>
          <w:tcPr>
            <w:tcW w:w="1339" w:type="pct"/>
            <w:tcBorders>
              <w:top w:val="nil"/>
              <w:left w:val="nil"/>
              <w:bottom w:val="single" w:sz="8" w:space="0" w:color="auto"/>
              <w:right w:val="single" w:sz="4" w:space="0" w:color="auto"/>
            </w:tcBorders>
            <w:shd w:val="clear" w:color="auto" w:fill="auto"/>
            <w:noWrap/>
            <w:vAlign w:val="center"/>
          </w:tcPr>
          <w:p w:rsidR="002C2D5C" w:rsidRPr="00803F9A" w:rsidRDefault="00A85D16" w:rsidP="00C378B2">
            <w:pPr>
              <w:spacing w:after="0"/>
              <w:jc w:val="both"/>
              <w:rPr>
                <w:rFonts w:cstheme="minorHAnsi"/>
                <w:sz w:val="18"/>
                <w:szCs w:val="18"/>
              </w:rPr>
            </w:pPr>
            <w:r>
              <w:rPr>
                <w:rFonts w:cstheme="minorHAnsi"/>
                <w:sz w:val="18"/>
                <w:szCs w:val="18"/>
              </w:rPr>
              <w:t>10.3%</w:t>
            </w:r>
          </w:p>
        </w:tc>
        <w:tc>
          <w:tcPr>
            <w:tcW w:w="1046" w:type="pct"/>
            <w:tcBorders>
              <w:top w:val="nil"/>
              <w:left w:val="nil"/>
              <w:bottom w:val="single" w:sz="8" w:space="0" w:color="auto"/>
              <w:right w:val="single" w:sz="8" w:space="0" w:color="auto"/>
            </w:tcBorders>
            <w:shd w:val="clear" w:color="auto" w:fill="auto"/>
            <w:noWrap/>
            <w:vAlign w:val="center"/>
          </w:tcPr>
          <w:p w:rsidR="002C2D5C" w:rsidRPr="00803F9A" w:rsidRDefault="00A85D16" w:rsidP="00C378B2">
            <w:pPr>
              <w:spacing w:after="0"/>
              <w:jc w:val="both"/>
              <w:rPr>
                <w:rFonts w:cstheme="minorHAnsi"/>
                <w:sz w:val="18"/>
                <w:szCs w:val="18"/>
              </w:rPr>
            </w:pPr>
            <w:r>
              <w:rPr>
                <w:rFonts w:cstheme="minorHAnsi"/>
                <w:sz w:val="18"/>
                <w:szCs w:val="18"/>
              </w:rPr>
              <w:t>16.8%</w:t>
            </w:r>
          </w:p>
        </w:tc>
      </w:tr>
    </w:tbl>
    <w:p w:rsidR="002C2D5C" w:rsidRDefault="002C2D5C" w:rsidP="002C2D5C">
      <w:pPr>
        <w:pStyle w:val="Source"/>
        <w:spacing w:after="0"/>
        <w:jc w:val="both"/>
      </w:pPr>
      <w:r w:rsidRPr="009F7639">
        <w:t>Source</w:t>
      </w:r>
      <w:r w:rsidR="00C378B2">
        <w:t>s</w:t>
      </w:r>
      <w:r w:rsidRPr="009F7639">
        <w:t>: Census 2011, AECOM Calculations</w:t>
      </w:r>
    </w:p>
    <w:p w:rsidR="002C2D5C" w:rsidRPr="00C378B2" w:rsidRDefault="002C2D5C" w:rsidP="002C2D5C">
      <w:pPr>
        <w:pStyle w:val="ListNumber"/>
        <w:widowControl w:val="0"/>
        <w:jc w:val="both"/>
        <w:rPr>
          <w:sz w:val="18"/>
          <w:szCs w:val="18"/>
        </w:rPr>
      </w:pPr>
      <w:r w:rsidRPr="00C378B2">
        <w:rPr>
          <w:sz w:val="18"/>
          <w:szCs w:val="18"/>
        </w:rPr>
        <w:t xml:space="preserve">In </w:t>
      </w:r>
      <w:fldSimple w:instr=" REF _Ref2331458 \h  \* MERGEFORMAT ">
        <w:r w:rsidR="00E14AFB" w:rsidRPr="004B77D6">
          <w:rPr>
            <w:sz w:val="18"/>
            <w:szCs w:val="18"/>
          </w:rPr>
          <w:t xml:space="preserve">Table </w:t>
        </w:r>
        <w:r w:rsidR="00E14AFB">
          <w:rPr>
            <w:noProof/>
            <w:sz w:val="18"/>
            <w:szCs w:val="18"/>
          </w:rPr>
          <w:t>5</w:t>
        </w:r>
        <w:r w:rsidR="00E14AFB" w:rsidRPr="004B77D6">
          <w:rPr>
            <w:noProof/>
            <w:sz w:val="18"/>
            <w:szCs w:val="18"/>
          </w:rPr>
          <w:noBreakHyphen/>
        </w:r>
        <w:r w:rsidR="00E14AFB">
          <w:rPr>
            <w:noProof/>
            <w:sz w:val="18"/>
            <w:szCs w:val="18"/>
          </w:rPr>
          <w:t>2</w:t>
        </w:r>
      </w:fldSimple>
      <w:r w:rsidRPr="00C378B2">
        <w:rPr>
          <w:sz w:val="18"/>
          <w:szCs w:val="18"/>
        </w:rPr>
        <w:t>, we note the chan</w:t>
      </w:r>
      <w:r w:rsidR="00C378B2">
        <w:rPr>
          <w:sz w:val="18"/>
          <w:szCs w:val="18"/>
        </w:rPr>
        <w:t xml:space="preserve">ges in </w:t>
      </w:r>
      <w:r w:rsidR="004A24C8">
        <w:rPr>
          <w:sz w:val="18"/>
          <w:szCs w:val="18"/>
        </w:rPr>
        <w:t>tenure</w:t>
      </w:r>
      <w:r w:rsidRPr="00C378B2">
        <w:rPr>
          <w:sz w:val="18"/>
          <w:szCs w:val="18"/>
        </w:rPr>
        <w:t xml:space="preserve"> during the intercensal period</w:t>
      </w:r>
      <w:r w:rsidR="00C378B2">
        <w:rPr>
          <w:sz w:val="18"/>
          <w:szCs w:val="18"/>
        </w:rPr>
        <w:t>.</w:t>
      </w:r>
      <w:r w:rsidRPr="00C378B2">
        <w:rPr>
          <w:sz w:val="18"/>
          <w:szCs w:val="18"/>
        </w:rPr>
        <w:t xml:space="preserve"> </w:t>
      </w:r>
      <w:r w:rsidR="003307BD">
        <w:rPr>
          <w:sz w:val="18"/>
          <w:szCs w:val="18"/>
        </w:rPr>
        <w:t>Over the inter-census period, the number of those renting privately has increased dramatically</w:t>
      </w:r>
      <w:r w:rsidR="009210E3">
        <w:rPr>
          <w:sz w:val="18"/>
          <w:szCs w:val="18"/>
        </w:rPr>
        <w:t xml:space="preserve"> by 152%</w:t>
      </w:r>
      <w:r w:rsidR="003307BD">
        <w:rPr>
          <w:sz w:val="18"/>
          <w:szCs w:val="18"/>
        </w:rPr>
        <w:t xml:space="preserve">. This could be down to several reasons such as potential buyers being priced out of home ownership, younger generations seeking the greater flexibility associated with </w:t>
      </w:r>
      <w:r w:rsidR="005C70B5">
        <w:rPr>
          <w:sz w:val="18"/>
          <w:szCs w:val="18"/>
        </w:rPr>
        <w:t>p</w:t>
      </w:r>
      <w:r w:rsidR="003307BD">
        <w:rPr>
          <w:sz w:val="18"/>
          <w:szCs w:val="18"/>
        </w:rPr>
        <w:t>rivate rent and an increase in buy-to-let investors.</w:t>
      </w:r>
      <w:r w:rsidR="009210E3">
        <w:rPr>
          <w:sz w:val="18"/>
          <w:szCs w:val="18"/>
        </w:rPr>
        <w:t xml:space="preserve"> Having said this, social rented units have increased significantly</w:t>
      </w:r>
      <w:r w:rsidR="00DB4D40">
        <w:rPr>
          <w:sz w:val="18"/>
          <w:szCs w:val="18"/>
        </w:rPr>
        <w:t>,</w:t>
      </w:r>
      <w:r w:rsidR="009210E3">
        <w:rPr>
          <w:sz w:val="18"/>
          <w:szCs w:val="18"/>
        </w:rPr>
        <w:t xml:space="preserve"> by 48%</w:t>
      </w:r>
      <w:r w:rsidR="00DB4D40">
        <w:rPr>
          <w:sz w:val="18"/>
          <w:szCs w:val="18"/>
        </w:rPr>
        <w:t>,</w:t>
      </w:r>
      <w:r w:rsidR="009210E3">
        <w:rPr>
          <w:sz w:val="18"/>
          <w:szCs w:val="18"/>
        </w:rPr>
        <w:t xml:space="preserve"> and home ownership overall has increased </w:t>
      </w:r>
      <w:r w:rsidR="00DB4D40">
        <w:rPr>
          <w:sz w:val="18"/>
          <w:szCs w:val="18"/>
        </w:rPr>
        <w:t>significantly compared to</w:t>
      </w:r>
      <w:r w:rsidR="00740F32">
        <w:rPr>
          <w:sz w:val="18"/>
          <w:szCs w:val="18"/>
        </w:rPr>
        <w:t xml:space="preserve"> the rest of Broadland</w:t>
      </w:r>
      <w:r w:rsidR="009210E3">
        <w:rPr>
          <w:sz w:val="18"/>
          <w:szCs w:val="18"/>
        </w:rPr>
        <w:t xml:space="preserve">. </w:t>
      </w:r>
      <w:r w:rsidR="006C0EEF">
        <w:rPr>
          <w:sz w:val="18"/>
          <w:szCs w:val="18"/>
        </w:rPr>
        <w:t xml:space="preserve">This shows that despite higher prices, home ownership still remains a popular form of tenure in the NA. </w:t>
      </w:r>
      <w:r w:rsidR="00740F32">
        <w:rPr>
          <w:sz w:val="18"/>
          <w:szCs w:val="18"/>
        </w:rPr>
        <w:t xml:space="preserve">Shared ownership has not increased at all, even though it has increased by 23.1% in Broadland and by 30.0% in England. It is </w:t>
      </w:r>
      <w:r w:rsidR="00DB4D40">
        <w:rPr>
          <w:sz w:val="18"/>
          <w:szCs w:val="18"/>
        </w:rPr>
        <w:t xml:space="preserve">possible </w:t>
      </w:r>
      <w:r w:rsidR="00740F32">
        <w:rPr>
          <w:sz w:val="18"/>
          <w:szCs w:val="18"/>
        </w:rPr>
        <w:t xml:space="preserve">that this tenure has not increased in Reedham </w:t>
      </w:r>
      <w:r w:rsidR="00DB4D40">
        <w:rPr>
          <w:sz w:val="18"/>
          <w:szCs w:val="18"/>
        </w:rPr>
        <w:t>because of high development cost or because it</w:t>
      </w:r>
      <w:r w:rsidR="00740F32">
        <w:rPr>
          <w:sz w:val="18"/>
          <w:szCs w:val="18"/>
        </w:rPr>
        <w:t xml:space="preserve"> is mainly popular amongst younger buyers </w:t>
      </w:r>
      <w:r w:rsidR="00DB4D40">
        <w:rPr>
          <w:sz w:val="18"/>
          <w:szCs w:val="18"/>
        </w:rPr>
        <w:t>who</w:t>
      </w:r>
      <w:r w:rsidR="00A24BC3">
        <w:rPr>
          <w:sz w:val="18"/>
          <w:szCs w:val="18"/>
        </w:rPr>
        <w:t xml:space="preserve"> </w:t>
      </w:r>
      <w:r w:rsidR="00DB4D40">
        <w:rPr>
          <w:sz w:val="18"/>
          <w:szCs w:val="18"/>
        </w:rPr>
        <w:t>tend to live in more urban areas</w:t>
      </w:r>
      <w:r w:rsidR="00740F32">
        <w:rPr>
          <w:sz w:val="18"/>
          <w:szCs w:val="18"/>
        </w:rPr>
        <w:t>.</w:t>
      </w:r>
    </w:p>
    <w:p w:rsidR="002C2D5C" w:rsidRPr="004B77D6" w:rsidRDefault="002C2D5C" w:rsidP="002C2D5C">
      <w:pPr>
        <w:pStyle w:val="Caption"/>
        <w:jc w:val="both"/>
        <w:rPr>
          <w:sz w:val="18"/>
          <w:szCs w:val="18"/>
        </w:rPr>
      </w:pPr>
      <w:bookmarkStart w:id="76" w:name="_Ref2331458"/>
      <w:r w:rsidRPr="004B77D6">
        <w:rPr>
          <w:sz w:val="18"/>
          <w:szCs w:val="18"/>
        </w:rPr>
        <w:t xml:space="preserve">Table </w:t>
      </w:r>
      <w:r w:rsidR="001A69AC" w:rsidRPr="004B77D6">
        <w:rPr>
          <w:noProof/>
          <w:sz w:val="18"/>
          <w:szCs w:val="18"/>
        </w:rPr>
        <w:fldChar w:fldCharType="begin"/>
      </w:r>
      <w:r w:rsidRPr="004B77D6">
        <w:rPr>
          <w:noProof/>
          <w:sz w:val="18"/>
          <w:szCs w:val="18"/>
        </w:rPr>
        <w:instrText xml:space="preserve"> STYLEREF 1 \s </w:instrText>
      </w:r>
      <w:r w:rsidR="001A69AC" w:rsidRPr="004B77D6">
        <w:rPr>
          <w:noProof/>
          <w:sz w:val="18"/>
          <w:szCs w:val="18"/>
        </w:rPr>
        <w:fldChar w:fldCharType="separate"/>
      </w:r>
      <w:r w:rsidR="00E14AFB">
        <w:rPr>
          <w:noProof/>
          <w:sz w:val="18"/>
          <w:szCs w:val="18"/>
        </w:rPr>
        <w:t>5</w:t>
      </w:r>
      <w:r w:rsidR="001A69AC" w:rsidRPr="004B77D6">
        <w:rPr>
          <w:noProof/>
          <w:sz w:val="18"/>
          <w:szCs w:val="18"/>
        </w:rPr>
        <w:fldChar w:fldCharType="end"/>
      </w:r>
      <w:r w:rsidRPr="004B77D6">
        <w:rPr>
          <w:sz w:val="18"/>
          <w:szCs w:val="18"/>
        </w:rPr>
        <w:noBreakHyphen/>
      </w:r>
      <w:r w:rsidR="001A69AC" w:rsidRPr="004B77D6">
        <w:rPr>
          <w:noProof/>
          <w:sz w:val="18"/>
          <w:szCs w:val="18"/>
        </w:rPr>
        <w:fldChar w:fldCharType="begin"/>
      </w:r>
      <w:r w:rsidRPr="004B77D6">
        <w:rPr>
          <w:noProof/>
          <w:sz w:val="18"/>
          <w:szCs w:val="18"/>
        </w:rPr>
        <w:instrText xml:space="preserve"> SEQ Table \* ARABIC \s 1 </w:instrText>
      </w:r>
      <w:r w:rsidR="001A69AC" w:rsidRPr="004B77D6">
        <w:rPr>
          <w:noProof/>
          <w:sz w:val="18"/>
          <w:szCs w:val="18"/>
        </w:rPr>
        <w:fldChar w:fldCharType="separate"/>
      </w:r>
      <w:r w:rsidR="00E14AFB">
        <w:rPr>
          <w:noProof/>
          <w:sz w:val="18"/>
          <w:szCs w:val="18"/>
        </w:rPr>
        <w:t>2</w:t>
      </w:r>
      <w:r w:rsidR="001A69AC" w:rsidRPr="004B77D6">
        <w:rPr>
          <w:noProof/>
          <w:sz w:val="18"/>
          <w:szCs w:val="18"/>
        </w:rPr>
        <w:fldChar w:fldCharType="end"/>
      </w:r>
      <w:bookmarkEnd w:id="76"/>
      <w:r w:rsidRPr="004B77D6">
        <w:rPr>
          <w:sz w:val="18"/>
          <w:szCs w:val="18"/>
        </w:rPr>
        <w:t xml:space="preserve">: Rates of tenure change in </w:t>
      </w:r>
      <w:r w:rsidR="00A85D16">
        <w:rPr>
          <w:sz w:val="18"/>
          <w:szCs w:val="18"/>
        </w:rPr>
        <w:t>Reedham</w:t>
      </w:r>
      <w:r w:rsidRPr="004B77D6">
        <w:rPr>
          <w:sz w:val="18"/>
          <w:szCs w:val="18"/>
        </w:rPr>
        <w:t>, 2001-2011</w:t>
      </w:r>
    </w:p>
    <w:tbl>
      <w:tblPr>
        <w:tblW w:w="4794" w:type="pct"/>
        <w:tblInd w:w="416" w:type="dxa"/>
        <w:tblLook w:val="04A0"/>
      </w:tblPr>
      <w:tblGrid>
        <w:gridCol w:w="2892"/>
        <w:gridCol w:w="2149"/>
        <w:gridCol w:w="2581"/>
        <w:gridCol w:w="2014"/>
      </w:tblGrid>
      <w:tr w:rsidR="002C2D5C" w:rsidRPr="00803F9A" w:rsidTr="00A85D16">
        <w:trPr>
          <w:trHeight w:val="288"/>
        </w:trPr>
        <w:tc>
          <w:tcPr>
            <w:tcW w:w="1501" w:type="pct"/>
            <w:tcBorders>
              <w:top w:val="single" w:sz="8" w:space="0" w:color="auto"/>
              <w:left w:val="single" w:sz="8" w:space="0" w:color="auto"/>
              <w:bottom w:val="single" w:sz="4" w:space="0" w:color="auto"/>
              <w:right w:val="single" w:sz="4" w:space="0" w:color="auto"/>
            </w:tcBorders>
            <w:shd w:val="clear" w:color="auto" w:fill="000000" w:themeFill="text1"/>
            <w:noWrap/>
            <w:vAlign w:val="center"/>
            <w:hideMark/>
          </w:tcPr>
          <w:p w:rsidR="002C2D5C" w:rsidRPr="00803F9A" w:rsidRDefault="002C2D5C" w:rsidP="00C378B2">
            <w:pPr>
              <w:jc w:val="both"/>
              <w:rPr>
                <w:b/>
                <w:color w:val="FFFFFF" w:themeColor="background2"/>
                <w:sz w:val="18"/>
                <w:szCs w:val="18"/>
              </w:rPr>
            </w:pPr>
            <w:r w:rsidRPr="00803F9A">
              <w:rPr>
                <w:b/>
                <w:color w:val="FFFFFF" w:themeColor="background2"/>
                <w:sz w:val="18"/>
                <w:szCs w:val="18"/>
              </w:rPr>
              <w:t>Tenure</w:t>
            </w:r>
          </w:p>
        </w:tc>
        <w:tc>
          <w:tcPr>
            <w:tcW w:w="1115" w:type="pct"/>
            <w:tcBorders>
              <w:top w:val="single" w:sz="8" w:space="0" w:color="auto"/>
              <w:left w:val="nil"/>
              <w:bottom w:val="single" w:sz="4" w:space="0" w:color="auto"/>
              <w:right w:val="single" w:sz="4" w:space="0" w:color="auto"/>
            </w:tcBorders>
            <w:shd w:val="clear" w:color="auto" w:fill="000000" w:themeFill="text1"/>
            <w:noWrap/>
            <w:vAlign w:val="center"/>
          </w:tcPr>
          <w:p w:rsidR="002C2D5C" w:rsidRPr="00803F9A" w:rsidRDefault="00A85D16" w:rsidP="00C378B2">
            <w:pPr>
              <w:jc w:val="both"/>
              <w:rPr>
                <w:b/>
                <w:color w:val="FFFFFF" w:themeColor="background2"/>
                <w:sz w:val="18"/>
                <w:szCs w:val="18"/>
              </w:rPr>
            </w:pPr>
            <w:r>
              <w:rPr>
                <w:b/>
                <w:color w:val="FFFFFF" w:themeColor="background2"/>
                <w:sz w:val="18"/>
                <w:szCs w:val="18"/>
              </w:rPr>
              <w:t>Reedham</w:t>
            </w:r>
          </w:p>
        </w:tc>
        <w:tc>
          <w:tcPr>
            <w:tcW w:w="1339" w:type="pct"/>
            <w:tcBorders>
              <w:top w:val="single" w:sz="8" w:space="0" w:color="auto"/>
              <w:left w:val="nil"/>
              <w:bottom w:val="single" w:sz="4" w:space="0" w:color="auto"/>
              <w:right w:val="single" w:sz="4" w:space="0" w:color="auto"/>
            </w:tcBorders>
            <w:shd w:val="clear" w:color="auto" w:fill="000000" w:themeFill="text1"/>
            <w:noWrap/>
            <w:vAlign w:val="center"/>
          </w:tcPr>
          <w:p w:rsidR="002C2D5C" w:rsidRPr="00803F9A" w:rsidRDefault="00A85D16" w:rsidP="00C378B2">
            <w:pPr>
              <w:jc w:val="both"/>
              <w:rPr>
                <w:b/>
                <w:color w:val="FFFFFF" w:themeColor="background2"/>
                <w:sz w:val="18"/>
                <w:szCs w:val="18"/>
              </w:rPr>
            </w:pPr>
            <w:r>
              <w:rPr>
                <w:b/>
                <w:color w:val="FFFFFF" w:themeColor="background2"/>
                <w:sz w:val="18"/>
                <w:szCs w:val="18"/>
              </w:rPr>
              <w:t>Broadland</w:t>
            </w:r>
          </w:p>
        </w:tc>
        <w:tc>
          <w:tcPr>
            <w:tcW w:w="1046" w:type="pct"/>
            <w:tcBorders>
              <w:top w:val="single" w:sz="8" w:space="0" w:color="auto"/>
              <w:left w:val="nil"/>
              <w:bottom w:val="single" w:sz="4" w:space="0" w:color="auto"/>
              <w:right w:val="single" w:sz="8" w:space="0" w:color="auto"/>
            </w:tcBorders>
            <w:shd w:val="clear" w:color="auto" w:fill="000000" w:themeFill="text1"/>
            <w:noWrap/>
            <w:vAlign w:val="center"/>
          </w:tcPr>
          <w:p w:rsidR="002C2D5C" w:rsidRPr="00803F9A" w:rsidRDefault="00A85D16" w:rsidP="00C378B2">
            <w:pPr>
              <w:jc w:val="both"/>
              <w:rPr>
                <w:b/>
                <w:color w:val="FFFFFF" w:themeColor="background2"/>
                <w:sz w:val="18"/>
                <w:szCs w:val="18"/>
              </w:rPr>
            </w:pPr>
            <w:r>
              <w:rPr>
                <w:b/>
                <w:color w:val="FFFFFF" w:themeColor="background2"/>
                <w:sz w:val="18"/>
                <w:szCs w:val="18"/>
              </w:rPr>
              <w:t>England</w:t>
            </w:r>
          </w:p>
        </w:tc>
      </w:tr>
      <w:tr w:rsidR="002C2D5C" w:rsidRPr="00803F9A" w:rsidTr="00A85D16">
        <w:trPr>
          <w:trHeight w:val="288"/>
        </w:trPr>
        <w:tc>
          <w:tcPr>
            <w:tcW w:w="1501" w:type="pct"/>
            <w:tcBorders>
              <w:top w:val="nil"/>
              <w:left w:val="single" w:sz="8" w:space="0" w:color="auto"/>
              <w:bottom w:val="single" w:sz="4" w:space="0" w:color="auto"/>
              <w:right w:val="single" w:sz="4" w:space="0" w:color="auto"/>
            </w:tcBorders>
            <w:shd w:val="clear" w:color="auto" w:fill="auto"/>
            <w:noWrap/>
            <w:vAlign w:val="center"/>
            <w:hideMark/>
          </w:tcPr>
          <w:p w:rsidR="002C2D5C" w:rsidRPr="00803F9A" w:rsidRDefault="002C2D5C" w:rsidP="00C378B2">
            <w:pPr>
              <w:jc w:val="both"/>
              <w:rPr>
                <w:sz w:val="18"/>
                <w:szCs w:val="18"/>
              </w:rPr>
            </w:pPr>
            <w:r w:rsidRPr="00803F9A">
              <w:rPr>
                <w:sz w:val="18"/>
                <w:szCs w:val="18"/>
              </w:rPr>
              <w:t>Owned; total</w:t>
            </w:r>
          </w:p>
        </w:tc>
        <w:tc>
          <w:tcPr>
            <w:tcW w:w="1115" w:type="pct"/>
            <w:tcBorders>
              <w:top w:val="nil"/>
              <w:left w:val="nil"/>
              <w:bottom w:val="single" w:sz="4" w:space="0" w:color="auto"/>
              <w:right w:val="single" w:sz="4" w:space="0" w:color="auto"/>
            </w:tcBorders>
            <w:shd w:val="clear" w:color="auto" w:fill="auto"/>
            <w:noWrap/>
            <w:vAlign w:val="center"/>
          </w:tcPr>
          <w:p w:rsidR="002C2D5C" w:rsidRPr="00803F9A" w:rsidRDefault="00A85D16" w:rsidP="00C378B2">
            <w:pPr>
              <w:jc w:val="both"/>
              <w:rPr>
                <w:sz w:val="18"/>
                <w:szCs w:val="18"/>
              </w:rPr>
            </w:pPr>
            <w:r>
              <w:rPr>
                <w:sz w:val="18"/>
                <w:szCs w:val="18"/>
              </w:rPr>
              <w:t>13.8%</w:t>
            </w:r>
          </w:p>
        </w:tc>
        <w:tc>
          <w:tcPr>
            <w:tcW w:w="1339" w:type="pct"/>
            <w:tcBorders>
              <w:top w:val="nil"/>
              <w:left w:val="nil"/>
              <w:bottom w:val="single" w:sz="4" w:space="0" w:color="auto"/>
              <w:right w:val="single" w:sz="4" w:space="0" w:color="auto"/>
            </w:tcBorders>
            <w:shd w:val="clear" w:color="auto" w:fill="auto"/>
            <w:noWrap/>
            <w:vAlign w:val="center"/>
          </w:tcPr>
          <w:p w:rsidR="002C2D5C" w:rsidRPr="00803F9A" w:rsidRDefault="00A85D16" w:rsidP="00C378B2">
            <w:pPr>
              <w:jc w:val="both"/>
              <w:rPr>
                <w:sz w:val="18"/>
                <w:szCs w:val="18"/>
              </w:rPr>
            </w:pPr>
            <w:r>
              <w:rPr>
                <w:sz w:val="18"/>
                <w:szCs w:val="18"/>
              </w:rPr>
              <w:t>2.6%</w:t>
            </w:r>
          </w:p>
        </w:tc>
        <w:tc>
          <w:tcPr>
            <w:tcW w:w="1046" w:type="pct"/>
            <w:tcBorders>
              <w:top w:val="nil"/>
              <w:left w:val="nil"/>
              <w:bottom w:val="single" w:sz="4" w:space="0" w:color="auto"/>
              <w:right w:val="single" w:sz="8" w:space="0" w:color="auto"/>
            </w:tcBorders>
            <w:shd w:val="clear" w:color="auto" w:fill="auto"/>
            <w:noWrap/>
            <w:vAlign w:val="center"/>
          </w:tcPr>
          <w:p w:rsidR="002C2D5C" w:rsidRPr="00803F9A" w:rsidRDefault="00A85D16" w:rsidP="00C378B2">
            <w:pPr>
              <w:jc w:val="both"/>
              <w:rPr>
                <w:sz w:val="18"/>
                <w:szCs w:val="18"/>
              </w:rPr>
            </w:pPr>
            <w:r>
              <w:rPr>
                <w:sz w:val="18"/>
                <w:szCs w:val="18"/>
              </w:rPr>
              <w:t>-0.6%</w:t>
            </w:r>
          </w:p>
        </w:tc>
      </w:tr>
      <w:tr w:rsidR="002C2D5C" w:rsidRPr="00803F9A" w:rsidTr="00A85D16">
        <w:trPr>
          <w:trHeight w:val="288"/>
        </w:trPr>
        <w:tc>
          <w:tcPr>
            <w:tcW w:w="1501" w:type="pct"/>
            <w:tcBorders>
              <w:top w:val="nil"/>
              <w:left w:val="single" w:sz="8" w:space="0" w:color="auto"/>
              <w:bottom w:val="single" w:sz="4" w:space="0" w:color="auto"/>
              <w:right w:val="single" w:sz="4" w:space="0" w:color="auto"/>
            </w:tcBorders>
            <w:shd w:val="clear" w:color="auto" w:fill="auto"/>
            <w:noWrap/>
            <w:vAlign w:val="center"/>
            <w:hideMark/>
          </w:tcPr>
          <w:p w:rsidR="002C2D5C" w:rsidRPr="00803F9A" w:rsidRDefault="002C2D5C" w:rsidP="00C378B2">
            <w:pPr>
              <w:jc w:val="both"/>
              <w:rPr>
                <w:sz w:val="18"/>
                <w:szCs w:val="18"/>
              </w:rPr>
            </w:pPr>
            <w:r w:rsidRPr="00803F9A">
              <w:rPr>
                <w:sz w:val="18"/>
                <w:szCs w:val="18"/>
              </w:rPr>
              <w:t xml:space="preserve">Shared ownership </w:t>
            </w:r>
          </w:p>
        </w:tc>
        <w:tc>
          <w:tcPr>
            <w:tcW w:w="1115" w:type="pct"/>
            <w:tcBorders>
              <w:top w:val="nil"/>
              <w:left w:val="nil"/>
              <w:bottom w:val="single" w:sz="4" w:space="0" w:color="auto"/>
              <w:right w:val="single" w:sz="4" w:space="0" w:color="auto"/>
            </w:tcBorders>
            <w:shd w:val="clear" w:color="auto" w:fill="auto"/>
            <w:noWrap/>
            <w:vAlign w:val="center"/>
          </w:tcPr>
          <w:p w:rsidR="002C2D5C" w:rsidRPr="00803F9A" w:rsidRDefault="00A85D16" w:rsidP="00C378B2">
            <w:pPr>
              <w:jc w:val="both"/>
              <w:rPr>
                <w:sz w:val="18"/>
                <w:szCs w:val="18"/>
              </w:rPr>
            </w:pPr>
            <w:r>
              <w:rPr>
                <w:sz w:val="18"/>
                <w:szCs w:val="18"/>
              </w:rPr>
              <w:t>0.0%</w:t>
            </w:r>
          </w:p>
        </w:tc>
        <w:tc>
          <w:tcPr>
            <w:tcW w:w="1339" w:type="pct"/>
            <w:tcBorders>
              <w:top w:val="nil"/>
              <w:left w:val="nil"/>
              <w:bottom w:val="single" w:sz="4" w:space="0" w:color="auto"/>
              <w:right w:val="single" w:sz="4" w:space="0" w:color="auto"/>
            </w:tcBorders>
            <w:shd w:val="clear" w:color="auto" w:fill="auto"/>
            <w:noWrap/>
            <w:vAlign w:val="center"/>
          </w:tcPr>
          <w:p w:rsidR="002C2D5C" w:rsidRPr="00803F9A" w:rsidRDefault="00A85D16" w:rsidP="00C378B2">
            <w:pPr>
              <w:jc w:val="both"/>
              <w:rPr>
                <w:sz w:val="18"/>
                <w:szCs w:val="18"/>
              </w:rPr>
            </w:pPr>
            <w:r>
              <w:rPr>
                <w:sz w:val="18"/>
                <w:szCs w:val="18"/>
              </w:rPr>
              <w:t>23.1%</w:t>
            </w:r>
          </w:p>
        </w:tc>
        <w:tc>
          <w:tcPr>
            <w:tcW w:w="1046" w:type="pct"/>
            <w:tcBorders>
              <w:top w:val="nil"/>
              <w:left w:val="nil"/>
              <w:bottom w:val="single" w:sz="4" w:space="0" w:color="auto"/>
              <w:right w:val="single" w:sz="8" w:space="0" w:color="auto"/>
            </w:tcBorders>
            <w:shd w:val="clear" w:color="auto" w:fill="auto"/>
            <w:noWrap/>
            <w:vAlign w:val="center"/>
          </w:tcPr>
          <w:p w:rsidR="002C2D5C" w:rsidRPr="00803F9A" w:rsidRDefault="00A85D16" w:rsidP="00C378B2">
            <w:pPr>
              <w:jc w:val="both"/>
              <w:rPr>
                <w:sz w:val="18"/>
                <w:szCs w:val="18"/>
              </w:rPr>
            </w:pPr>
            <w:r>
              <w:rPr>
                <w:sz w:val="18"/>
                <w:szCs w:val="18"/>
              </w:rPr>
              <w:t>30.0%</w:t>
            </w:r>
          </w:p>
        </w:tc>
      </w:tr>
      <w:tr w:rsidR="002C2D5C" w:rsidRPr="00803F9A" w:rsidTr="00A85D16">
        <w:trPr>
          <w:trHeight w:val="288"/>
        </w:trPr>
        <w:tc>
          <w:tcPr>
            <w:tcW w:w="1501" w:type="pct"/>
            <w:tcBorders>
              <w:top w:val="nil"/>
              <w:left w:val="single" w:sz="8" w:space="0" w:color="auto"/>
              <w:bottom w:val="single" w:sz="4" w:space="0" w:color="auto"/>
              <w:right w:val="single" w:sz="4" w:space="0" w:color="auto"/>
            </w:tcBorders>
            <w:shd w:val="clear" w:color="auto" w:fill="auto"/>
            <w:noWrap/>
            <w:vAlign w:val="center"/>
            <w:hideMark/>
          </w:tcPr>
          <w:p w:rsidR="002C2D5C" w:rsidRPr="00803F9A" w:rsidRDefault="002C2D5C" w:rsidP="00C378B2">
            <w:pPr>
              <w:jc w:val="both"/>
              <w:rPr>
                <w:sz w:val="18"/>
                <w:szCs w:val="18"/>
              </w:rPr>
            </w:pPr>
            <w:r w:rsidRPr="00803F9A">
              <w:rPr>
                <w:sz w:val="18"/>
                <w:szCs w:val="18"/>
              </w:rPr>
              <w:t>Social rented; total</w:t>
            </w:r>
          </w:p>
        </w:tc>
        <w:tc>
          <w:tcPr>
            <w:tcW w:w="1115" w:type="pct"/>
            <w:tcBorders>
              <w:top w:val="nil"/>
              <w:left w:val="nil"/>
              <w:bottom w:val="single" w:sz="4" w:space="0" w:color="auto"/>
              <w:right w:val="single" w:sz="4" w:space="0" w:color="auto"/>
            </w:tcBorders>
            <w:shd w:val="clear" w:color="auto" w:fill="auto"/>
            <w:noWrap/>
            <w:vAlign w:val="center"/>
          </w:tcPr>
          <w:p w:rsidR="002C2D5C" w:rsidRPr="00803F9A" w:rsidRDefault="00A85D16" w:rsidP="00C378B2">
            <w:pPr>
              <w:jc w:val="both"/>
              <w:rPr>
                <w:sz w:val="18"/>
                <w:szCs w:val="18"/>
              </w:rPr>
            </w:pPr>
            <w:r>
              <w:rPr>
                <w:sz w:val="18"/>
                <w:szCs w:val="18"/>
              </w:rPr>
              <w:t>48.0%</w:t>
            </w:r>
          </w:p>
        </w:tc>
        <w:tc>
          <w:tcPr>
            <w:tcW w:w="1339" w:type="pct"/>
            <w:tcBorders>
              <w:top w:val="nil"/>
              <w:left w:val="nil"/>
              <w:bottom w:val="single" w:sz="4" w:space="0" w:color="auto"/>
              <w:right w:val="single" w:sz="4" w:space="0" w:color="auto"/>
            </w:tcBorders>
            <w:shd w:val="clear" w:color="auto" w:fill="auto"/>
            <w:noWrap/>
            <w:vAlign w:val="center"/>
          </w:tcPr>
          <w:p w:rsidR="002C2D5C" w:rsidRPr="00803F9A" w:rsidRDefault="00A85D16" w:rsidP="00C378B2">
            <w:pPr>
              <w:jc w:val="both"/>
              <w:rPr>
                <w:sz w:val="18"/>
                <w:szCs w:val="18"/>
              </w:rPr>
            </w:pPr>
            <w:r>
              <w:rPr>
                <w:sz w:val="18"/>
                <w:szCs w:val="18"/>
              </w:rPr>
              <w:t>10.3%</w:t>
            </w:r>
          </w:p>
        </w:tc>
        <w:tc>
          <w:tcPr>
            <w:tcW w:w="1046" w:type="pct"/>
            <w:tcBorders>
              <w:top w:val="nil"/>
              <w:left w:val="nil"/>
              <w:bottom w:val="single" w:sz="4" w:space="0" w:color="auto"/>
              <w:right w:val="single" w:sz="8" w:space="0" w:color="auto"/>
            </w:tcBorders>
            <w:shd w:val="clear" w:color="auto" w:fill="auto"/>
            <w:noWrap/>
            <w:vAlign w:val="center"/>
          </w:tcPr>
          <w:p w:rsidR="002C2D5C" w:rsidRPr="00803F9A" w:rsidRDefault="00A85D16" w:rsidP="00C378B2">
            <w:pPr>
              <w:jc w:val="both"/>
              <w:rPr>
                <w:sz w:val="18"/>
                <w:szCs w:val="18"/>
              </w:rPr>
            </w:pPr>
            <w:r>
              <w:rPr>
                <w:sz w:val="18"/>
                <w:szCs w:val="18"/>
              </w:rPr>
              <w:t>-0.9%</w:t>
            </w:r>
          </w:p>
        </w:tc>
      </w:tr>
      <w:tr w:rsidR="002C2D5C" w:rsidRPr="00803F9A" w:rsidTr="00A85D16">
        <w:trPr>
          <w:trHeight w:val="300"/>
        </w:trPr>
        <w:tc>
          <w:tcPr>
            <w:tcW w:w="1501" w:type="pct"/>
            <w:tcBorders>
              <w:top w:val="nil"/>
              <w:left w:val="single" w:sz="8" w:space="0" w:color="auto"/>
              <w:bottom w:val="single" w:sz="8" w:space="0" w:color="auto"/>
              <w:right w:val="single" w:sz="4" w:space="0" w:color="auto"/>
            </w:tcBorders>
            <w:shd w:val="clear" w:color="auto" w:fill="auto"/>
            <w:noWrap/>
            <w:vAlign w:val="center"/>
            <w:hideMark/>
          </w:tcPr>
          <w:p w:rsidR="002C2D5C" w:rsidRPr="00803F9A" w:rsidRDefault="002C2D5C" w:rsidP="00C378B2">
            <w:pPr>
              <w:jc w:val="both"/>
              <w:rPr>
                <w:sz w:val="18"/>
                <w:szCs w:val="18"/>
              </w:rPr>
            </w:pPr>
            <w:r w:rsidRPr="00803F9A">
              <w:rPr>
                <w:sz w:val="18"/>
                <w:szCs w:val="18"/>
              </w:rPr>
              <w:t>Private rented; total</w:t>
            </w:r>
          </w:p>
        </w:tc>
        <w:tc>
          <w:tcPr>
            <w:tcW w:w="1115" w:type="pct"/>
            <w:tcBorders>
              <w:top w:val="nil"/>
              <w:left w:val="nil"/>
              <w:bottom w:val="single" w:sz="8" w:space="0" w:color="auto"/>
              <w:right w:val="single" w:sz="4" w:space="0" w:color="auto"/>
            </w:tcBorders>
            <w:shd w:val="clear" w:color="auto" w:fill="auto"/>
            <w:noWrap/>
            <w:vAlign w:val="center"/>
          </w:tcPr>
          <w:p w:rsidR="002C2D5C" w:rsidRPr="00803F9A" w:rsidRDefault="00A85D16" w:rsidP="00C378B2">
            <w:pPr>
              <w:jc w:val="both"/>
              <w:rPr>
                <w:sz w:val="18"/>
                <w:szCs w:val="18"/>
              </w:rPr>
            </w:pPr>
            <w:r>
              <w:rPr>
                <w:sz w:val="18"/>
                <w:szCs w:val="18"/>
              </w:rPr>
              <w:t>152.0%</w:t>
            </w:r>
          </w:p>
        </w:tc>
        <w:tc>
          <w:tcPr>
            <w:tcW w:w="1339" w:type="pct"/>
            <w:tcBorders>
              <w:top w:val="nil"/>
              <w:left w:val="nil"/>
              <w:bottom w:val="single" w:sz="8" w:space="0" w:color="auto"/>
              <w:right w:val="single" w:sz="4" w:space="0" w:color="auto"/>
            </w:tcBorders>
            <w:shd w:val="clear" w:color="auto" w:fill="auto"/>
            <w:noWrap/>
            <w:vAlign w:val="center"/>
          </w:tcPr>
          <w:p w:rsidR="002C2D5C" w:rsidRPr="00803F9A" w:rsidRDefault="00A85D16" w:rsidP="00C378B2">
            <w:pPr>
              <w:jc w:val="both"/>
              <w:rPr>
                <w:sz w:val="18"/>
                <w:szCs w:val="18"/>
              </w:rPr>
            </w:pPr>
            <w:r>
              <w:rPr>
                <w:sz w:val="18"/>
                <w:szCs w:val="18"/>
              </w:rPr>
              <w:t>91.8%</w:t>
            </w:r>
          </w:p>
        </w:tc>
        <w:tc>
          <w:tcPr>
            <w:tcW w:w="1046" w:type="pct"/>
            <w:tcBorders>
              <w:top w:val="nil"/>
              <w:left w:val="nil"/>
              <w:bottom w:val="single" w:sz="8" w:space="0" w:color="auto"/>
              <w:right w:val="single" w:sz="8" w:space="0" w:color="auto"/>
            </w:tcBorders>
            <w:shd w:val="clear" w:color="auto" w:fill="auto"/>
            <w:noWrap/>
            <w:vAlign w:val="center"/>
          </w:tcPr>
          <w:p w:rsidR="002C2D5C" w:rsidRPr="00803F9A" w:rsidRDefault="00A85D16" w:rsidP="00C378B2">
            <w:pPr>
              <w:jc w:val="both"/>
              <w:rPr>
                <w:sz w:val="18"/>
                <w:szCs w:val="18"/>
              </w:rPr>
            </w:pPr>
            <w:r>
              <w:rPr>
                <w:sz w:val="18"/>
                <w:szCs w:val="18"/>
              </w:rPr>
              <w:t>82.4%</w:t>
            </w:r>
          </w:p>
        </w:tc>
      </w:tr>
    </w:tbl>
    <w:p w:rsidR="002C2D5C" w:rsidRPr="005901AE" w:rsidRDefault="002C2D5C" w:rsidP="002C2D5C">
      <w:pPr>
        <w:pStyle w:val="Source"/>
        <w:jc w:val="both"/>
      </w:pPr>
      <w:r w:rsidRPr="005901AE">
        <w:t>Source</w:t>
      </w:r>
      <w:r w:rsidR="00C378B2">
        <w:t>s</w:t>
      </w:r>
      <w:r w:rsidRPr="005901AE">
        <w:t>: Census</w:t>
      </w:r>
      <w:r w:rsidR="00C378B2">
        <w:t>es</w:t>
      </w:r>
      <w:r w:rsidRPr="005901AE">
        <w:t xml:space="preserve"> 2001 and 2011, AECOM Calculations</w:t>
      </w:r>
    </w:p>
    <w:p w:rsidR="002C2D5C" w:rsidRPr="00817582" w:rsidRDefault="002C2D5C" w:rsidP="002C2D5C">
      <w:pPr>
        <w:pStyle w:val="Heading2"/>
        <w:jc w:val="both"/>
      </w:pPr>
      <w:bookmarkStart w:id="77" w:name="_Toc500759110"/>
      <w:bookmarkStart w:id="78" w:name="_Toc521491990"/>
      <w:bookmarkStart w:id="79" w:name="_Toc536797444"/>
      <w:bookmarkStart w:id="80" w:name="_Toc2690275"/>
      <w:bookmarkStart w:id="81" w:name="_Toc33015854"/>
      <w:r w:rsidRPr="00817582">
        <w:t>Affordability</w:t>
      </w:r>
      <w:bookmarkEnd w:id="77"/>
      <w:bookmarkEnd w:id="78"/>
      <w:bookmarkEnd w:id="79"/>
      <w:bookmarkEnd w:id="80"/>
      <w:r w:rsidR="00817582">
        <w:t xml:space="preserve"> by tenure</w:t>
      </w:r>
      <w:bookmarkEnd w:id="81"/>
    </w:p>
    <w:p w:rsidR="0001783C" w:rsidRDefault="00DF4EC9" w:rsidP="002C2D5C">
      <w:pPr>
        <w:pStyle w:val="ListNumber"/>
        <w:widowControl w:val="0"/>
        <w:jc w:val="both"/>
        <w:rPr>
          <w:sz w:val="18"/>
          <w:szCs w:val="18"/>
        </w:rPr>
      </w:pPr>
      <w:r>
        <w:rPr>
          <w:sz w:val="18"/>
          <w:szCs w:val="18"/>
        </w:rPr>
        <w:t>Having revie</w:t>
      </w:r>
      <w:r w:rsidR="0001783C">
        <w:rPr>
          <w:sz w:val="18"/>
          <w:szCs w:val="18"/>
        </w:rPr>
        <w:t xml:space="preserve">wed the </w:t>
      </w:r>
      <w:r w:rsidR="00B808FC">
        <w:rPr>
          <w:sz w:val="18"/>
          <w:szCs w:val="18"/>
        </w:rPr>
        <w:t xml:space="preserve">tenure of the </w:t>
      </w:r>
      <w:r w:rsidR="0001783C">
        <w:rPr>
          <w:sz w:val="18"/>
          <w:szCs w:val="18"/>
        </w:rPr>
        <w:t xml:space="preserve">existing housing stock in </w:t>
      </w:r>
      <w:r w:rsidR="00A85D16">
        <w:rPr>
          <w:sz w:val="18"/>
          <w:szCs w:val="18"/>
        </w:rPr>
        <w:t>Reedham</w:t>
      </w:r>
      <w:r w:rsidR="0001783C">
        <w:rPr>
          <w:sz w:val="18"/>
          <w:szCs w:val="18"/>
        </w:rPr>
        <w:t xml:space="preserve"> </w:t>
      </w:r>
      <w:r w:rsidRPr="00F001EA">
        <w:rPr>
          <w:sz w:val="18"/>
          <w:szCs w:val="18"/>
        </w:rPr>
        <w:t>and the findings of the SHMA,</w:t>
      </w:r>
      <w:r>
        <w:rPr>
          <w:sz w:val="18"/>
          <w:szCs w:val="18"/>
        </w:rPr>
        <w:t xml:space="preserve"> </w:t>
      </w:r>
      <w:r w:rsidR="004A24C8">
        <w:rPr>
          <w:sz w:val="18"/>
          <w:szCs w:val="18"/>
        </w:rPr>
        <w:t xml:space="preserve">this report </w:t>
      </w:r>
      <w:r>
        <w:rPr>
          <w:sz w:val="18"/>
          <w:szCs w:val="18"/>
        </w:rPr>
        <w:t>turn</w:t>
      </w:r>
      <w:r w:rsidR="004A24C8">
        <w:rPr>
          <w:sz w:val="18"/>
          <w:szCs w:val="18"/>
        </w:rPr>
        <w:t>s</w:t>
      </w:r>
      <w:r>
        <w:rPr>
          <w:sz w:val="18"/>
          <w:szCs w:val="18"/>
        </w:rPr>
        <w:t xml:space="preserve"> to assessing future provision over the Neig</w:t>
      </w:r>
      <w:r w:rsidR="0001783C">
        <w:rPr>
          <w:sz w:val="18"/>
          <w:szCs w:val="18"/>
        </w:rPr>
        <w:t xml:space="preserve">hbourhood Plan period. </w:t>
      </w:r>
    </w:p>
    <w:p w:rsidR="002C2D5C" w:rsidRDefault="0001783C" w:rsidP="002C2D5C">
      <w:pPr>
        <w:pStyle w:val="ListNumber"/>
        <w:widowControl w:val="0"/>
        <w:jc w:val="both"/>
        <w:rPr>
          <w:sz w:val="18"/>
          <w:szCs w:val="18"/>
        </w:rPr>
      </w:pPr>
      <w:r>
        <w:rPr>
          <w:sz w:val="18"/>
          <w:szCs w:val="18"/>
        </w:rPr>
        <w:t>I</w:t>
      </w:r>
      <w:r w:rsidR="002C2D5C" w:rsidRPr="00C378B2">
        <w:rPr>
          <w:sz w:val="18"/>
          <w:szCs w:val="18"/>
        </w:rPr>
        <w:t>n order to understand whether the tenure profile of the current stock reflects the needs of the pop</w:t>
      </w:r>
      <w:r w:rsidR="00F16F43">
        <w:rPr>
          <w:sz w:val="18"/>
          <w:szCs w:val="18"/>
        </w:rPr>
        <w:t>ulation currently and over the P</w:t>
      </w:r>
      <w:r w:rsidR="002C2D5C" w:rsidRPr="00C378B2">
        <w:rPr>
          <w:sz w:val="18"/>
          <w:szCs w:val="18"/>
        </w:rPr>
        <w:t xml:space="preserve">lan period, </w:t>
      </w:r>
      <w:r w:rsidR="004A24C8">
        <w:rPr>
          <w:sz w:val="18"/>
          <w:szCs w:val="18"/>
        </w:rPr>
        <w:t>the</w:t>
      </w:r>
      <w:r w:rsidR="002C2D5C" w:rsidRPr="00C378B2">
        <w:rPr>
          <w:sz w:val="18"/>
          <w:szCs w:val="18"/>
        </w:rPr>
        <w:t xml:space="preserve"> starting point is to consider whether this profile provides different market segments access to dwellings of a suitable type and size</w:t>
      </w:r>
      <w:r w:rsidR="00C378B2">
        <w:rPr>
          <w:sz w:val="18"/>
          <w:szCs w:val="18"/>
        </w:rPr>
        <w:t>,</w:t>
      </w:r>
      <w:r w:rsidR="002C2D5C" w:rsidRPr="00C378B2">
        <w:rPr>
          <w:sz w:val="18"/>
          <w:szCs w:val="18"/>
        </w:rPr>
        <w:t xml:space="preserve"> given their household composition.</w:t>
      </w:r>
    </w:p>
    <w:p w:rsidR="00D272A0" w:rsidRPr="00C378B2" w:rsidRDefault="00D272A0" w:rsidP="00D272A0">
      <w:pPr>
        <w:pStyle w:val="Heading3"/>
      </w:pPr>
      <w:bookmarkStart w:id="82" w:name="_Toc33015855"/>
      <w:r>
        <w:t>House prices</w:t>
      </w:r>
      <w:bookmarkEnd w:id="82"/>
    </w:p>
    <w:p w:rsidR="002C2D5C" w:rsidRDefault="002C2D5C" w:rsidP="002C2D5C">
      <w:pPr>
        <w:pStyle w:val="ListNumber"/>
        <w:widowControl w:val="0"/>
        <w:jc w:val="both"/>
        <w:rPr>
          <w:sz w:val="18"/>
          <w:szCs w:val="18"/>
        </w:rPr>
      </w:pPr>
      <w:r w:rsidRPr="00C378B2">
        <w:rPr>
          <w:sz w:val="18"/>
          <w:szCs w:val="18"/>
        </w:rPr>
        <w:t>PPG makes clear that lower-qu</w:t>
      </w:r>
      <w:r w:rsidR="00C378B2">
        <w:rPr>
          <w:sz w:val="18"/>
          <w:szCs w:val="18"/>
        </w:rPr>
        <w:t xml:space="preserve">artile house prices may </w:t>
      </w:r>
      <w:r w:rsidRPr="00C378B2">
        <w:rPr>
          <w:sz w:val="18"/>
          <w:szCs w:val="18"/>
        </w:rPr>
        <w:t>be used as a benchmark for entry-level home prices.</w:t>
      </w:r>
      <w:r w:rsidRPr="00C378B2">
        <w:rPr>
          <w:rStyle w:val="FootnoteReference"/>
          <w:sz w:val="18"/>
          <w:szCs w:val="18"/>
          <w:lang w:val="en-GB"/>
        </w:rPr>
        <w:footnoteReference w:id="18"/>
      </w:r>
    </w:p>
    <w:p w:rsidR="00CF27BE" w:rsidRPr="00CF27BE" w:rsidRDefault="00CF27BE" w:rsidP="00CF27BE">
      <w:pPr>
        <w:pStyle w:val="ListNumber"/>
        <w:jc w:val="both"/>
        <w:rPr>
          <w:sz w:val="18"/>
          <w:szCs w:val="18"/>
        </w:rPr>
      </w:pPr>
      <w:r w:rsidRPr="00CF27BE">
        <w:rPr>
          <w:sz w:val="18"/>
          <w:szCs w:val="18"/>
        </w:rPr>
        <w:t>An entry-level dwelling can also be understood as one suitable for a household comprising two or three indiv</w:t>
      </w:r>
      <w:r>
        <w:rPr>
          <w:sz w:val="18"/>
          <w:szCs w:val="18"/>
        </w:rPr>
        <w:t xml:space="preserve">iduals. In order to </w:t>
      </w:r>
      <w:r w:rsidR="005F50BC">
        <w:rPr>
          <w:sz w:val="18"/>
          <w:szCs w:val="18"/>
        </w:rPr>
        <w:t xml:space="preserve">be in </w:t>
      </w:r>
      <w:r>
        <w:rPr>
          <w:sz w:val="18"/>
          <w:szCs w:val="18"/>
        </w:rPr>
        <w:t>conform</w:t>
      </w:r>
      <w:r w:rsidR="005F50BC">
        <w:rPr>
          <w:sz w:val="18"/>
          <w:szCs w:val="18"/>
        </w:rPr>
        <w:t>ity</w:t>
      </w:r>
      <w:r>
        <w:rPr>
          <w:sz w:val="18"/>
          <w:szCs w:val="18"/>
        </w:rPr>
        <w:t xml:space="preserve"> with</w:t>
      </w:r>
      <w:r w:rsidR="005F50BC">
        <w:rPr>
          <w:sz w:val="18"/>
          <w:szCs w:val="18"/>
        </w:rPr>
        <w:t xml:space="preserve"> </w:t>
      </w:r>
      <w:r w:rsidRPr="00CF27BE">
        <w:rPr>
          <w:sz w:val="18"/>
          <w:szCs w:val="18"/>
        </w:rPr>
        <w:t>Government guidance on overcrowding, such a home would require three habitable rooms (</w:t>
      </w:r>
      <w:r>
        <w:rPr>
          <w:sz w:val="18"/>
          <w:szCs w:val="18"/>
        </w:rPr>
        <w:t xml:space="preserve">i.e. comprise </w:t>
      </w:r>
      <w:r w:rsidRPr="00CF27BE">
        <w:rPr>
          <w:sz w:val="18"/>
          <w:szCs w:val="18"/>
        </w:rPr>
        <w:t xml:space="preserve">a flat or house with </w:t>
      </w:r>
      <w:r>
        <w:rPr>
          <w:sz w:val="18"/>
          <w:szCs w:val="18"/>
        </w:rPr>
        <w:t xml:space="preserve">one or </w:t>
      </w:r>
      <w:r w:rsidRPr="00CF27BE">
        <w:rPr>
          <w:sz w:val="18"/>
          <w:szCs w:val="18"/>
        </w:rPr>
        <w:t>two bedrooms). Entry-level properties can therefore also be understo</w:t>
      </w:r>
      <w:r>
        <w:rPr>
          <w:sz w:val="18"/>
          <w:szCs w:val="18"/>
        </w:rPr>
        <w:t>od as one or two-bedroom flats/houses.</w:t>
      </w:r>
    </w:p>
    <w:p w:rsidR="002C2D5C" w:rsidRPr="00C378B2" w:rsidRDefault="001A69AC" w:rsidP="002C2D5C">
      <w:pPr>
        <w:pStyle w:val="ListNumber"/>
        <w:widowControl w:val="0"/>
        <w:jc w:val="both"/>
        <w:rPr>
          <w:sz w:val="18"/>
          <w:szCs w:val="18"/>
        </w:rPr>
      </w:pPr>
      <w:fldSimple w:instr=" REF _Ref2332387 \h  \* MERGEFORMAT ">
        <w:r w:rsidR="00E14AFB" w:rsidRPr="004B77D6">
          <w:rPr>
            <w:sz w:val="18"/>
            <w:szCs w:val="18"/>
          </w:rPr>
          <w:t xml:space="preserve">Figure </w:t>
        </w:r>
        <w:r w:rsidR="00E14AFB">
          <w:rPr>
            <w:noProof/>
            <w:sz w:val="18"/>
            <w:szCs w:val="18"/>
          </w:rPr>
          <w:t>5</w:t>
        </w:r>
        <w:r w:rsidR="00E14AFB" w:rsidRPr="004B77D6">
          <w:rPr>
            <w:noProof/>
            <w:sz w:val="18"/>
            <w:szCs w:val="18"/>
          </w:rPr>
          <w:noBreakHyphen/>
        </w:r>
        <w:r w:rsidR="00E14AFB">
          <w:rPr>
            <w:noProof/>
            <w:sz w:val="18"/>
            <w:szCs w:val="18"/>
          </w:rPr>
          <w:t>1</w:t>
        </w:r>
      </w:fldSimple>
      <w:r w:rsidR="002C2D5C" w:rsidRPr="00C378B2">
        <w:rPr>
          <w:sz w:val="18"/>
          <w:szCs w:val="18"/>
        </w:rPr>
        <w:t xml:space="preserve"> looks at selected measures of house prices in </w:t>
      </w:r>
      <w:r w:rsidR="00B56CC9">
        <w:rPr>
          <w:sz w:val="18"/>
          <w:szCs w:val="18"/>
        </w:rPr>
        <w:t>Reedham</w:t>
      </w:r>
      <w:r w:rsidR="002C2D5C" w:rsidRPr="00C378B2">
        <w:rPr>
          <w:sz w:val="18"/>
          <w:szCs w:val="18"/>
        </w:rPr>
        <w:t xml:space="preserve">. </w:t>
      </w:r>
      <w:r w:rsidR="00C378B2">
        <w:rPr>
          <w:sz w:val="18"/>
          <w:szCs w:val="18"/>
        </w:rPr>
        <w:t xml:space="preserve">It </w:t>
      </w:r>
      <w:r w:rsidR="002C2D5C" w:rsidRPr="00C378B2">
        <w:rPr>
          <w:sz w:val="18"/>
          <w:szCs w:val="18"/>
        </w:rPr>
        <w:t xml:space="preserve">shows that </w:t>
      </w:r>
      <w:r w:rsidR="002D1B33">
        <w:rPr>
          <w:sz w:val="18"/>
          <w:szCs w:val="18"/>
        </w:rPr>
        <w:t xml:space="preserve">house prices </w:t>
      </w:r>
      <w:r w:rsidR="00D30B62">
        <w:rPr>
          <w:sz w:val="18"/>
          <w:szCs w:val="18"/>
        </w:rPr>
        <w:t xml:space="preserve">dramatically rose from 2009 until 2011 where they reached their peak mean of £260,094. </w:t>
      </w:r>
      <w:r w:rsidR="00DA4232">
        <w:rPr>
          <w:sz w:val="18"/>
          <w:szCs w:val="18"/>
        </w:rPr>
        <w:t xml:space="preserve">Houses prices in </w:t>
      </w:r>
      <w:r w:rsidR="00D30B62">
        <w:rPr>
          <w:sz w:val="18"/>
          <w:szCs w:val="18"/>
        </w:rPr>
        <w:t>2012-2014</w:t>
      </w:r>
      <w:r w:rsidR="002C2D5C" w:rsidRPr="00C378B2">
        <w:rPr>
          <w:sz w:val="18"/>
          <w:szCs w:val="18"/>
        </w:rPr>
        <w:t xml:space="preserve"> </w:t>
      </w:r>
      <w:r w:rsidR="00DA4232">
        <w:rPr>
          <w:sz w:val="18"/>
          <w:szCs w:val="18"/>
        </w:rPr>
        <w:t xml:space="preserve">were lower than previous years, until 2015 when house prices rose again at a more steadily rate. </w:t>
      </w:r>
      <w:r w:rsidR="00DD2F75">
        <w:rPr>
          <w:sz w:val="18"/>
          <w:szCs w:val="18"/>
        </w:rPr>
        <w:t xml:space="preserve">Between </w:t>
      </w:r>
      <w:r w:rsidR="00DA4232">
        <w:rPr>
          <w:sz w:val="18"/>
          <w:szCs w:val="18"/>
        </w:rPr>
        <w:t>2017</w:t>
      </w:r>
      <w:r w:rsidR="00DD2F75">
        <w:rPr>
          <w:sz w:val="18"/>
          <w:szCs w:val="18"/>
        </w:rPr>
        <w:t xml:space="preserve"> and 2018</w:t>
      </w:r>
      <w:r w:rsidR="00DA4232">
        <w:rPr>
          <w:sz w:val="18"/>
          <w:szCs w:val="18"/>
        </w:rPr>
        <w:t xml:space="preserve"> house prices decreased agai</w:t>
      </w:r>
      <w:r w:rsidR="00DD2F75">
        <w:rPr>
          <w:sz w:val="18"/>
          <w:szCs w:val="18"/>
        </w:rPr>
        <w:t>n</w:t>
      </w:r>
      <w:r w:rsidR="00DA4232">
        <w:rPr>
          <w:sz w:val="18"/>
          <w:szCs w:val="18"/>
        </w:rPr>
        <w:t xml:space="preserve">. </w:t>
      </w:r>
      <w:r w:rsidR="00885CD3">
        <w:rPr>
          <w:sz w:val="18"/>
          <w:szCs w:val="18"/>
        </w:rPr>
        <w:t xml:space="preserve">Lower quartile price trends roughly follow those of the median and mean. </w:t>
      </w:r>
      <w:r w:rsidR="00E57924">
        <w:rPr>
          <w:sz w:val="18"/>
          <w:szCs w:val="18"/>
        </w:rPr>
        <w:t xml:space="preserve">Overall, the mean price of houses has risen by approximately 65%. </w:t>
      </w:r>
    </w:p>
    <w:p w:rsidR="002C2D5C" w:rsidRPr="004B77D6" w:rsidRDefault="00DB4D40" w:rsidP="002C2D5C">
      <w:pPr>
        <w:pStyle w:val="Caption"/>
        <w:jc w:val="both"/>
        <w:rPr>
          <w:sz w:val="18"/>
          <w:szCs w:val="18"/>
        </w:rPr>
      </w:pPr>
      <w:bookmarkStart w:id="83" w:name="_Ref2332387"/>
      <w:r>
        <w:rPr>
          <w:noProof/>
        </w:rPr>
        <w:lastRenderedPageBreak/>
        <w:drawing>
          <wp:anchor distT="0" distB="0" distL="114300" distR="114300" simplePos="0" relativeHeight="251665408" behindDoc="0" locked="0" layoutInCell="1" allowOverlap="1">
            <wp:simplePos x="0" y="0"/>
            <wp:positionH relativeFrom="margin">
              <wp:posOffset>259936</wp:posOffset>
            </wp:positionH>
            <wp:positionV relativeFrom="margin">
              <wp:posOffset>176889</wp:posOffset>
            </wp:positionV>
            <wp:extent cx="6050915" cy="2464435"/>
            <wp:effectExtent l="0" t="0" r="6985" b="12065"/>
            <wp:wrapSquare wrapText="bothSides"/>
            <wp:docPr id="16" name="Chart 16">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AF9140A9-4944-4C00-BBEA-BCF4D228C7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sidR="002C2D5C" w:rsidRPr="004B77D6">
        <w:rPr>
          <w:sz w:val="18"/>
          <w:szCs w:val="18"/>
        </w:rPr>
        <w:t xml:space="preserve">Figure </w:t>
      </w:r>
      <w:r w:rsidR="001A69AC" w:rsidRPr="004B77D6">
        <w:rPr>
          <w:noProof/>
          <w:sz w:val="18"/>
          <w:szCs w:val="18"/>
        </w:rPr>
        <w:fldChar w:fldCharType="begin"/>
      </w:r>
      <w:r w:rsidR="002C2D5C" w:rsidRPr="004B77D6">
        <w:rPr>
          <w:noProof/>
          <w:sz w:val="18"/>
          <w:szCs w:val="18"/>
        </w:rPr>
        <w:instrText xml:space="preserve"> STYLEREF 1 \s </w:instrText>
      </w:r>
      <w:r w:rsidR="001A69AC" w:rsidRPr="004B77D6">
        <w:rPr>
          <w:noProof/>
          <w:sz w:val="18"/>
          <w:szCs w:val="18"/>
        </w:rPr>
        <w:fldChar w:fldCharType="separate"/>
      </w:r>
      <w:r w:rsidR="00E14AFB">
        <w:rPr>
          <w:noProof/>
          <w:sz w:val="18"/>
          <w:szCs w:val="18"/>
        </w:rPr>
        <w:t>5</w:t>
      </w:r>
      <w:r w:rsidR="001A69AC" w:rsidRPr="004B77D6">
        <w:rPr>
          <w:noProof/>
          <w:sz w:val="18"/>
          <w:szCs w:val="18"/>
        </w:rPr>
        <w:fldChar w:fldCharType="end"/>
      </w:r>
      <w:r w:rsidR="002C2D5C" w:rsidRPr="004B77D6">
        <w:rPr>
          <w:sz w:val="18"/>
          <w:szCs w:val="18"/>
        </w:rPr>
        <w:noBreakHyphen/>
      </w:r>
      <w:r w:rsidR="001A69AC" w:rsidRPr="004B77D6">
        <w:rPr>
          <w:noProof/>
          <w:sz w:val="18"/>
          <w:szCs w:val="18"/>
        </w:rPr>
        <w:fldChar w:fldCharType="begin"/>
      </w:r>
      <w:r w:rsidR="002C2D5C" w:rsidRPr="004B77D6">
        <w:rPr>
          <w:noProof/>
          <w:sz w:val="18"/>
          <w:szCs w:val="18"/>
        </w:rPr>
        <w:instrText xml:space="preserve"> SEQ Figure \* ARABIC \s 1 </w:instrText>
      </w:r>
      <w:r w:rsidR="001A69AC" w:rsidRPr="004B77D6">
        <w:rPr>
          <w:noProof/>
          <w:sz w:val="18"/>
          <w:szCs w:val="18"/>
        </w:rPr>
        <w:fldChar w:fldCharType="separate"/>
      </w:r>
      <w:r w:rsidR="00E14AFB">
        <w:rPr>
          <w:noProof/>
          <w:sz w:val="18"/>
          <w:szCs w:val="18"/>
        </w:rPr>
        <w:t>1</w:t>
      </w:r>
      <w:r w:rsidR="001A69AC" w:rsidRPr="004B77D6">
        <w:rPr>
          <w:noProof/>
          <w:sz w:val="18"/>
          <w:szCs w:val="18"/>
        </w:rPr>
        <w:fldChar w:fldCharType="end"/>
      </w:r>
      <w:bookmarkEnd w:id="83"/>
      <w:r w:rsidR="002C2D5C" w:rsidRPr="004B77D6">
        <w:rPr>
          <w:sz w:val="18"/>
          <w:szCs w:val="18"/>
        </w:rPr>
        <w:t>: House prices</w:t>
      </w:r>
      <w:r w:rsidR="00817582">
        <w:rPr>
          <w:sz w:val="18"/>
          <w:szCs w:val="18"/>
        </w:rPr>
        <w:t xml:space="preserve"> by quartile</w:t>
      </w:r>
      <w:r w:rsidR="002C2D5C" w:rsidRPr="004B77D6">
        <w:rPr>
          <w:sz w:val="18"/>
          <w:szCs w:val="18"/>
        </w:rPr>
        <w:t xml:space="preserve"> in </w:t>
      </w:r>
      <w:r w:rsidR="00036291">
        <w:rPr>
          <w:sz w:val="18"/>
          <w:szCs w:val="18"/>
        </w:rPr>
        <w:t>Reedham</w:t>
      </w:r>
      <w:r w:rsidR="004B77D6">
        <w:rPr>
          <w:sz w:val="18"/>
          <w:szCs w:val="18"/>
        </w:rPr>
        <w:t xml:space="preserve"> between </w:t>
      </w:r>
      <w:r w:rsidR="00036291">
        <w:rPr>
          <w:sz w:val="18"/>
          <w:szCs w:val="18"/>
        </w:rPr>
        <w:t>2009</w:t>
      </w:r>
      <w:r w:rsidR="004B77D6">
        <w:rPr>
          <w:sz w:val="18"/>
          <w:szCs w:val="18"/>
        </w:rPr>
        <w:t xml:space="preserve"> and </w:t>
      </w:r>
      <w:r w:rsidR="00036291">
        <w:rPr>
          <w:sz w:val="18"/>
          <w:szCs w:val="18"/>
        </w:rPr>
        <w:t>2018</w:t>
      </w:r>
    </w:p>
    <w:p w:rsidR="002C2D5C" w:rsidRPr="004B77D6" w:rsidRDefault="002C2D5C" w:rsidP="002C2D5C">
      <w:pPr>
        <w:pStyle w:val="Source"/>
        <w:jc w:val="both"/>
        <w:rPr>
          <w:sz w:val="18"/>
          <w:szCs w:val="18"/>
          <w:lang w:val="en-GB"/>
        </w:rPr>
      </w:pPr>
      <w:r w:rsidRPr="004B77D6">
        <w:rPr>
          <w:sz w:val="18"/>
          <w:szCs w:val="18"/>
          <w:lang w:val="en-GB"/>
        </w:rPr>
        <w:t>Source: Land Registry PPD</w:t>
      </w:r>
    </w:p>
    <w:p w:rsidR="002C2D5C" w:rsidRPr="00CC4E3E" w:rsidRDefault="001A69AC" w:rsidP="002C2D5C">
      <w:pPr>
        <w:pStyle w:val="ListNumber"/>
        <w:widowControl w:val="0"/>
        <w:jc w:val="both"/>
        <w:rPr>
          <w:sz w:val="18"/>
          <w:szCs w:val="18"/>
        </w:rPr>
      </w:pPr>
      <w:fldSimple w:instr=" REF _Ref2333252 \h  \* MERGEFORMAT ">
        <w:r w:rsidR="00E14AFB" w:rsidRPr="004B77D6">
          <w:rPr>
            <w:sz w:val="18"/>
            <w:szCs w:val="18"/>
          </w:rPr>
          <w:t xml:space="preserve">Table </w:t>
        </w:r>
        <w:r w:rsidR="00E14AFB">
          <w:rPr>
            <w:noProof/>
            <w:sz w:val="18"/>
            <w:szCs w:val="18"/>
          </w:rPr>
          <w:t>5</w:t>
        </w:r>
        <w:r w:rsidR="00E14AFB" w:rsidRPr="004B77D6">
          <w:rPr>
            <w:noProof/>
            <w:sz w:val="18"/>
            <w:szCs w:val="18"/>
          </w:rPr>
          <w:noBreakHyphen/>
        </w:r>
        <w:r w:rsidR="00E14AFB">
          <w:rPr>
            <w:noProof/>
            <w:sz w:val="18"/>
            <w:szCs w:val="18"/>
          </w:rPr>
          <w:t>3</w:t>
        </w:r>
      </w:fldSimple>
      <w:r w:rsidR="002C2D5C" w:rsidRPr="00CC4E3E">
        <w:rPr>
          <w:sz w:val="18"/>
          <w:szCs w:val="18"/>
        </w:rPr>
        <w:t xml:space="preserve"> below breaks down house prices by ty</w:t>
      </w:r>
      <w:r w:rsidR="00CC4E3E">
        <w:rPr>
          <w:sz w:val="18"/>
          <w:szCs w:val="18"/>
        </w:rPr>
        <w:t>pe of house, as recorded by L</w:t>
      </w:r>
      <w:r w:rsidR="002C2D5C" w:rsidRPr="00CC4E3E">
        <w:rPr>
          <w:sz w:val="18"/>
          <w:szCs w:val="18"/>
        </w:rPr>
        <w:t xml:space="preserve">and </w:t>
      </w:r>
      <w:r w:rsidR="00CC4E3E">
        <w:rPr>
          <w:sz w:val="18"/>
          <w:szCs w:val="18"/>
        </w:rPr>
        <w:t>R</w:t>
      </w:r>
      <w:r w:rsidR="002C2D5C" w:rsidRPr="00CC4E3E">
        <w:rPr>
          <w:sz w:val="18"/>
          <w:szCs w:val="18"/>
        </w:rPr>
        <w:t>egistry</w:t>
      </w:r>
      <w:r w:rsidR="00CC4E3E">
        <w:rPr>
          <w:sz w:val="18"/>
          <w:szCs w:val="18"/>
        </w:rPr>
        <w:t xml:space="preserve"> Price Paid Data (PPD)</w:t>
      </w:r>
      <w:r w:rsidR="002C2D5C" w:rsidRPr="00CC4E3E">
        <w:rPr>
          <w:sz w:val="18"/>
          <w:szCs w:val="18"/>
        </w:rPr>
        <w:t xml:space="preserve">. </w:t>
      </w:r>
      <w:r w:rsidR="00CC4E3E">
        <w:rPr>
          <w:sz w:val="18"/>
          <w:szCs w:val="18"/>
        </w:rPr>
        <w:t>It</w:t>
      </w:r>
      <w:r w:rsidR="002C2D5C" w:rsidRPr="00CC4E3E">
        <w:rPr>
          <w:sz w:val="18"/>
          <w:szCs w:val="18"/>
        </w:rPr>
        <w:t xml:space="preserve"> shows that </w:t>
      </w:r>
      <w:r w:rsidR="00E57924">
        <w:rPr>
          <w:sz w:val="18"/>
          <w:szCs w:val="18"/>
        </w:rPr>
        <w:t xml:space="preserve">on average, house prices in the NA have increased by around two-thirds. Semi-detached properties have seen the largest growth between 2009-2018, increasing by 105.8%, this is followed by detached (83.4%) and terraced (52.2%) homes. </w:t>
      </w:r>
      <w:r w:rsidR="00DB4D40">
        <w:rPr>
          <w:sz w:val="18"/>
          <w:szCs w:val="18"/>
        </w:rPr>
        <w:t>The strong increase in price for semi-detached homes (which may in fact be higher still as the 2018 average price appears to be a low anomaly) indicates that they are the most sought-after house type in the NA</w:t>
      </w:r>
      <w:r w:rsidR="004B39C9">
        <w:rPr>
          <w:sz w:val="18"/>
          <w:szCs w:val="18"/>
        </w:rPr>
        <w:t xml:space="preserve">. There is no data on percentage growth for flats as there are relatively few flats in Reedham to be sold (see the Type and Size chapter), and so the average annual price is highly determined by the particular units sold in any particular year, which may vary in size and quality. </w:t>
      </w:r>
    </w:p>
    <w:p w:rsidR="002C2D5C" w:rsidRPr="004B77D6" w:rsidRDefault="002C2D5C" w:rsidP="002C2D5C">
      <w:pPr>
        <w:pStyle w:val="Caption"/>
        <w:jc w:val="both"/>
        <w:rPr>
          <w:sz w:val="18"/>
          <w:szCs w:val="18"/>
        </w:rPr>
      </w:pPr>
      <w:bookmarkStart w:id="84" w:name="_Ref2333252"/>
      <w:r w:rsidRPr="004B77D6">
        <w:rPr>
          <w:sz w:val="18"/>
          <w:szCs w:val="18"/>
        </w:rPr>
        <w:t xml:space="preserve">Table </w:t>
      </w:r>
      <w:r w:rsidR="001A69AC" w:rsidRPr="004B77D6">
        <w:rPr>
          <w:noProof/>
          <w:sz w:val="18"/>
          <w:szCs w:val="18"/>
        </w:rPr>
        <w:fldChar w:fldCharType="begin"/>
      </w:r>
      <w:r w:rsidRPr="004B77D6">
        <w:rPr>
          <w:noProof/>
          <w:sz w:val="18"/>
          <w:szCs w:val="18"/>
        </w:rPr>
        <w:instrText xml:space="preserve"> STYLEREF 1 \s </w:instrText>
      </w:r>
      <w:r w:rsidR="001A69AC" w:rsidRPr="004B77D6">
        <w:rPr>
          <w:noProof/>
          <w:sz w:val="18"/>
          <w:szCs w:val="18"/>
        </w:rPr>
        <w:fldChar w:fldCharType="separate"/>
      </w:r>
      <w:r w:rsidR="00E14AFB">
        <w:rPr>
          <w:noProof/>
          <w:sz w:val="18"/>
          <w:szCs w:val="18"/>
        </w:rPr>
        <w:t>5</w:t>
      </w:r>
      <w:r w:rsidR="001A69AC" w:rsidRPr="004B77D6">
        <w:rPr>
          <w:noProof/>
          <w:sz w:val="18"/>
          <w:szCs w:val="18"/>
        </w:rPr>
        <w:fldChar w:fldCharType="end"/>
      </w:r>
      <w:r w:rsidRPr="004B77D6">
        <w:rPr>
          <w:sz w:val="18"/>
          <w:szCs w:val="18"/>
        </w:rPr>
        <w:noBreakHyphen/>
      </w:r>
      <w:r w:rsidR="001A69AC" w:rsidRPr="004B77D6">
        <w:rPr>
          <w:noProof/>
          <w:sz w:val="18"/>
          <w:szCs w:val="18"/>
        </w:rPr>
        <w:fldChar w:fldCharType="begin"/>
      </w:r>
      <w:r w:rsidRPr="004B77D6">
        <w:rPr>
          <w:noProof/>
          <w:sz w:val="18"/>
          <w:szCs w:val="18"/>
        </w:rPr>
        <w:instrText xml:space="preserve"> SEQ Table \* ARABIC \s 1 </w:instrText>
      </w:r>
      <w:r w:rsidR="001A69AC" w:rsidRPr="004B77D6">
        <w:rPr>
          <w:noProof/>
          <w:sz w:val="18"/>
          <w:szCs w:val="18"/>
        </w:rPr>
        <w:fldChar w:fldCharType="separate"/>
      </w:r>
      <w:r w:rsidR="00E14AFB">
        <w:rPr>
          <w:noProof/>
          <w:sz w:val="18"/>
          <w:szCs w:val="18"/>
        </w:rPr>
        <w:t>3</w:t>
      </w:r>
      <w:r w:rsidR="001A69AC" w:rsidRPr="004B77D6">
        <w:rPr>
          <w:noProof/>
          <w:sz w:val="18"/>
          <w:szCs w:val="18"/>
        </w:rPr>
        <w:fldChar w:fldCharType="end"/>
      </w:r>
      <w:bookmarkEnd w:id="84"/>
      <w:r w:rsidRPr="004B77D6">
        <w:rPr>
          <w:sz w:val="18"/>
          <w:szCs w:val="18"/>
        </w:rPr>
        <w:t>: House prices by type in</w:t>
      </w:r>
      <w:r w:rsidR="005F50BC" w:rsidRPr="004B77D6">
        <w:rPr>
          <w:sz w:val="18"/>
          <w:szCs w:val="18"/>
        </w:rPr>
        <w:t xml:space="preserve"> </w:t>
      </w:r>
      <w:r w:rsidR="000B67C7">
        <w:rPr>
          <w:sz w:val="18"/>
          <w:szCs w:val="18"/>
        </w:rPr>
        <w:t>Reedham</w:t>
      </w:r>
      <w:r w:rsidRPr="004B77D6">
        <w:rPr>
          <w:sz w:val="18"/>
          <w:szCs w:val="18"/>
        </w:rPr>
        <w:t>, 2008-2017</w:t>
      </w:r>
      <w:r w:rsidR="00817582">
        <w:rPr>
          <w:sz w:val="18"/>
          <w:szCs w:val="18"/>
        </w:rPr>
        <w:t>,000’s</w:t>
      </w:r>
    </w:p>
    <w:tbl>
      <w:tblPr>
        <w:tblW w:w="4794" w:type="pct"/>
        <w:tblInd w:w="416" w:type="dxa"/>
        <w:tblLayout w:type="fixed"/>
        <w:tblLook w:val="04A0"/>
      </w:tblPr>
      <w:tblGrid>
        <w:gridCol w:w="1017"/>
        <w:gridCol w:w="783"/>
        <w:gridCol w:w="783"/>
        <w:gridCol w:w="785"/>
        <w:gridCol w:w="783"/>
        <w:gridCol w:w="783"/>
        <w:gridCol w:w="785"/>
        <w:gridCol w:w="783"/>
        <w:gridCol w:w="783"/>
        <w:gridCol w:w="785"/>
        <w:gridCol w:w="782"/>
        <w:gridCol w:w="784"/>
      </w:tblGrid>
      <w:tr w:rsidR="001749C0" w:rsidRPr="00374C95" w:rsidTr="00DB4D40">
        <w:trPr>
          <w:trHeight w:val="288"/>
        </w:trPr>
        <w:tc>
          <w:tcPr>
            <w:tcW w:w="527" w:type="pct"/>
            <w:tcBorders>
              <w:top w:val="single" w:sz="8" w:space="0" w:color="auto"/>
              <w:left w:val="single" w:sz="8" w:space="0" w:color="auto"/>
              <w:bottom w:val="single" w:sz="4" w:space="0" w:color="auto"/>
              <w:right w:val="single" w:sz="4" w:space="0" w:color="auto"/>
            </w:tcBorders>
            <w:shd w:val="clear" w:color="auto" w:fill="000000" w:themeFill="text1"/>
            <w:noWrap/>
            <w:vAlign w:val="center"/>
          </w:tcPr>
          <w:p w:rsidR="002C2D5C" w:rsidRPr="00941970" w:rsidRDefault="002C2D5C" w:rsidP="00C378B2">
            <w:pPr>
              <w:jc w:val="both"/>
              <w:rPr>
                <w:b/>
                <w:color w:val="FFFFFF" w:themeColor="background2"/>
                <w:sz w:val="12"/>
                <w:szCs w:val="18"/>
              </w:rPr>
            </w:pPr>
            <w:r w:rsidRPr="00941970">
              <w:rPr>
                <w:b/>
                <w:color w:val="FFFFFF" w:themeColor="background2"/>
                <w:sz w:val="12"/>
                <w:szCs w:val="18"/>
              </w:rPr>
              <w:t>Type</w:t>
            </w:r>
          </w:p>
        </w:tc>
        <w:tc>
          <w:tcPr>
            <w:tcW w:w="406" w:type="pct"/>
            <w:tcBorders>
              <w:top w:val="single" w:sz="8" w:space="0" w:color="auto"/>
              <w:left w:val="nil"/>
              <w:bottom w:val="single" w:sz="4" w:space="0" w:color="auto"/>
              <w:right w:val="single" w:sz="4" w:space="0" w:color="auto"/>
            </w:tcBorders>
            <w:shd w:val="clear" w:color="auto" w:fill="000000" w:themeFill="text1"/>
            <w:noWrap/>
            <w:vAlign w:val="center"/>
          </w:tcPr>
          <w:p w:rsidR="002C2D5C" w:rsidRPr="00941970" w:rsidRDefault="002C2D5C" w:rsidP="00C378B2">
            <w:pPr>
              <w:jc w:val="both"/>
              <w:rPr>
                <w:b/>
                <w:color w:val="FFFFFF" w:themeColor="background2"/>
                <w:sz w:val="12"/>
                <w:szCs w:val="18"/>
              </w:rPr>
            </w:pPr>
            <w:r w:rsidRPr="00941970">
              <w:rPr>
                <w:b/>
                <w:color w:val="FFFFFF" w:themeColor="background2"/>
                <w:sz w:val="12"/>
                <w:szCs w:val="18"/>
              </w:rPr>
              <w:t>2009</w:t>
            </w:r>
          </w:p>
        </w:tc>
        <w:tc>
          <w:tcPr>
            <w:tcW w:w="406" w:type="pct"/>
            <w:tcBorders>
              <w:top w:val="single" w:sz="8" w:space="0" w:color="auto"/>
              <w:left w:val="nil"/>
              <w:bottom w:val="single" w:sz="4" w:space="0" w:color="auto"/>
              <w:right w:val="single" w:sz="4" w:space="0" w:color="auto"/>
            </w:tcBorders>
            <w:shd w:val="clear" w:color="auto" w:fill="000000" w:themeFill="text1"/>
            <w:noWrap/>
            <w:vAlign w:val="center"/>
          </w:tcPr>
          <w:p w:rsidR="002C2D5C" w:rsidRPr="00941970" w:rsidRDefault="002C2D5C" w:rsidP="00C378B2">
            <w:pPr>
              <w:jc w:val="both"/>
              <w:rPr>
                <w:b/>
                <w:color w:val="FFFFFF" w:themeColor="background2"/>
                <w:sz w:val="12"/>
                <w:szCs w:val="18"/>
              </w:rPr>
            </w:pPr>
            <w:r w:rsidRPr="00941970">
              <w:rPr>
                <w:b/>
                <w:color w:val="FFFFFF" w:themeColor="background2"/>
                <w:sz w:val="12"/>
                <w:szCs w:val="18"/>
              </w:rPr>
              <w:t>2010</w:t>
            </w:r>
          </w:p>
        </w:tc>
        <w:tc>
          <w:tcPr>
            <w:tcW w:w="407" w:type="pct"/>
            <w:tcBorders>
              <w:top w:val="single" w:sz="8" w:space="0" w:color="auto"/>
              <w:left w:val="nil"/>
              <w:bottom w:val="single" w:sz="4" w:space="0" w:color="auto"/>
              <w:right w:val="single" w:sz="8" w:space="0" w:color="auto"/>
            </w:tcBorders>
            <w:shd w:val="clear" w:color="auto" w:fill="000000" w:themeFill="text1"/>
            <w:noWrap/>
            <w:vAlign w:val="center"/>
          </w:tcPr>
          <w:p w:rsidR="002C2D5C" w:rsidRPr="00941970" w:rsidRDefault="002C2D5C" w:rsidP="00C378B2">
            <w:pPr>
              <w:jc w:val="both"/>
              <w:rPr>
                <w:b/>
                <w:color w:val="FFFFFF" w:themeColor="background2"/>
                <w:sz w:val="12"/>
                <w:szCs w:val="18"/>
              </w:rPr>
            </w:pPr>
            <w:r w:rsidRPr="00941970">
              <w:rPr>
                <w:b/>
                <w:color w:val="FFFFFF" w:themeColor="background2"/>
                <w:sz w:val="12"/>
                <w:szCs w:val="18"/>
              </w:rPr>
              <w:t>2011</w:t>
            </w:r>
          </w:p>
        </w:tc>
        <w:tc>
          <w:tcPr>
            <w:tcW w:w="406" w:type="pct"/>
            <w:tcBorders>
              <w:top w:val="single" w:sz="8" w:space="0" w:color="auto"/>
              <w:left w:val="nil"/>
              <w:bottom w:val="single" w:sz="4" w:space="0" w:color="auto"/>
              <w:right w:val="single" w:sz="8" w:space="0" w:color="auto"/>
            </w:tcBorders>
            <w:shd w:val="clear" w:color="auto" w:fill="000000" w:themeFill="text1"/>
            <w:vAlign w:val="center"/>
          </w:tcPr>
          <w:p w:rsidR="002C2D5C" w:rsidRPr="00941970" w:rsidRDefault="002C2D5C" w:rsidP="00C378B2">
            <w:pPr>
              <w:jc w:val="both"/>
              <w:rPr>
                <w:b/>
                <w:color w:val="FFFFFF" w:themeColor="background2"/>
                <w:sz w:val="12"/>
                <w:szCs w:val="18"/>
              </w:rPr>
            </w:pPr>
            <w:r w:rsidRPr="00941970">
              <w:rPr>
                <w:b/>
                <w:color w:val="FFFFFF" w:themeColor="background2"/>
                <w:sz w:val="12"/>
                <w:szCs w:val="18"/>
              </w:rPr>
              <w:t>2012</w:t>
            </w:r>
          </w:p>
        </w:tc>
        <w:tc>
          <w:tcPr>
            <w:tcW w:w="406" w:type="pct"/>
            <w:tcBorders>
              <w:top w:val="single" w:sz="8" w:space="0" w:color="auto"/>
              <w:left w:val="nil"/>
              <w:bottom w:val="single" w:sz="4" w:space="0" w:color="auto"/>
              <w:right w:val="single" w:sz="8" w:space="0" w:color="auto"/>
            </w:tcBorders>
            <w:shd w:val="clear" w:color="auto" w:fill="000000" w:themeFill="text1"/>
            <w:vAlign w:val="center"/>
          </w:tcPr>
          <w:p w:rsidR="002C2D5C" w:rsidRPr="00941970" w:rsidRDefault="002C2D5C" w:rsidP="00C378B2">
            <w:pPr>
              <w:jc w:val="both"/>
              <w:rPr>
                <w:b/>
                <w:color w:val="FFFFFF" w:themeColor="background2"/>
                <w:sz w:val="12"/>
                <w:szCs w:val="18"/>
              </w:rPr>
            </w:pPr>
            <w:r w:rsidRPr="00941970">
              <w:rPr>
                <w:b/>
                <w:color w:val="FFFFFF" w:themeColor="background2"/>
                <w:sz w:val="12"/>
                <w:szCs w:val="18"/>
              </w:rPr>
              <w:t>2013</w:t>
            </w:r>
          </w:p>
        </w:tc>
        <w:tc>
          <w:tcPr>
            <w:tcW w:w="407" w:type="pct"/>
            <w:tcBorders>
              <w:top w:val="single" w:sz="8" w:space="0" w:color="auto"/>
              <w:left w:val="nil"/>
              <w:bottom w:val="single" w:sz="4" w:space="0" w:color="auto"/>
              <w:right w:val="single" w:sz="8" w:space="0" w:color="auto"/>
            </w:tcBorders>
            <w:shd w:val="clear" w:color="auto" w:fill="000000" w:themeFill="text1"/>
            <w:vAlign w:val="center"/>
          </w:tcPr>
          <w:p w:rsidR="002C2D5C" w:rsidRPr="00941970" w:rsidRDefault="002C2D5C" w:rsidP="00C378B2">
            <w:pPr>
              <w:jc w:val="both"/>
              <w:rPr>
                <w:b/>
                <w:color w:val="FFFFFF" w:themeColor="background2"/>
                <w:sz w:val="12"/>
                <w:szCs w:val="18"/>
              </w:rPr>
            </w:pPr>
            <w:r w:rsidRPr="00941970">
              <w:rPr>
                <w:b/>
                <w:color w:val="FFFFFF" w:themeColor="background2"/>
                <w:sz w:val="12"/>
                <w:szCs w:val="18"/>
              </w:rPr>
              <w:t>2014</w:t>
            </w:r>
          </w:p>
        </w:tc>
        <w:tc>
          <w:tcPr>
            <w:tcW w:w="406" w:type="pct"/>
            <w:tcBorders>
              <w:top w:val="single" w:sz="8" w:space="0" w:color="auto"/>
              <w:left w:val="nil"/>
              <w:bottom w:val="single" w:sz="4" w:space="0" w:color="auto"/>
              <w:right w:val="single" w:sz="8" w:space="0" w:color="auto"/>
            </w:tcBorders>
            <w:shd w:val="clear" w:color="auto" w:fill="000000" w:themeFill="text1"/>
            <w:vAlign w:val="center"/>
          </w:tcPr>
          <w:p w:rsidR="002C2D5C" w:rsidRPr="00941970" w:rsidRDefault="002C2D5C" w:rsidP="00C378B2">
            <w:pPr>
              <w:jc w:val="both"/>
              <w:rPr>
                <w:b/>
                <w:color w:val="FFFFFF" w:themeColor="background2"/>
                <w:sz w:val="12"/>
                <w:szCs w:val="18"/>
              </w:rPr>
            </w:pPr>
            <w:r w:rsidRPr="00941970">
              <w:rPr>
                <w:b/>
                <w:color w:val="FFFFFF" w:themeColor="background2"/>
                <w:sz w:val="12"/>
                <w:szCs w:val="18"/>
              </w:rPr>
              <w:t>2015</w:t>
            </w:r>
          </w:p>
        </w:tc>
        <w:tc>
          <w:tcPr>
            <w:tcW w:w="406" w:type="pct"/>
            <w:tcBorders>
              <w:top w:val="single" w:sz="8" w:space="0" w:color="auto"/>
              <w:left w:val="nil"/>
              <w:bottom w:val="single" w:sz="4" w:space="0" w:color="auto"/>
              <w:right w:val="single" w:sz="8" w:space="0" w:color="auto"/>
            </w:tcBorders>
            <w:shd w:val="clear" w:color="auto" w:fill="000000" w:themeFill="text1"/>
            <w:vAlign w:val="center"/>
          </w:tcPr>
          <w:p w:rsidR="002C2D5C" w:rsidRPr="00941970" w:rsidRDefault="002C2D5C" w:rsidP="00C378B2">
            <w:pPr>
              <w:jc w:val="both"/>
              <w:rPr>
                <w:b/>
                <w:color w:val="FFFFFF" w:themeColor="background2"/>
                <w:sz w:val="12"/>
                <w:szCs w:val="18"/>
              </w:rPr>
            </w:pPr>
            <w:r w:rsidRPr="00941970">
              <w:rPr>
                <w:b/>
                <w:color w:val="FFFFFF" w:themeColor="background2"/>
                <w:sz w:val="12"/>
                <w:szCs w:val="18"/>
              </w:rPr>
              <w:t>2016</w:t>
            </w:r>
          </w:p>
        </w:tc>
        <w:tc>
          <w:tcPr>
            <w:tcW w:w="407" w:type="pct"/>
            <w:tcBorders>
              <w:top w:val="single" w:sz="8" w:space="0" w:color="auto"/>
              <w:left w:val="nil"/>
              <w:bottom w:val="single" w:sz="4" w:space="0" w:color="auto"/>
              <w:right w:val="single" w:sz="8" w:space="0" w:color="auto"/>
            </w:tcBorders>
            <w:shd w:val="clear" w:color="auto" w:fill="000000" w:themeFill="text1"/>
            <w:vAlign w:val="center"/>
          </w:tcPr>
          <w:p w:rsidR="002C2D5C" w:rsidRPr="00941970" w:rsidRDefault="002C2D5C" w:rsidP="00C378B2">
            <w:pPr>
              <w:jc w:val="both"/>
              <w:rPr>
                <w:b/>
                <w:color w:val="FFFFFF" w:themeColor="background2"/>
                <w:sz w:val="12"/>
                <w:szCs w:val="18"/>
              </w:rPr>
            </w:pPr>
            <w:r w:rsidRPr="00941970">
              <w:rPr>
                <w:b/>
                <w:color w:val="FFFFFF" w:themeColor="background2"/>
                <w:sz w:val="12"/>
                <w:szCs w:val="18"/>
              </w:rPr>
              <w:t>2017</w:t>
            </w:r>
          </w:p>
        </w:tc>
        <w:tc>
          <w:tcPr>
            <w:tcW w:w="406" w:type="pct"/>
            <w:tcBorders>
              <w:top w:val="single" w:sz="8" w:space="0" w:color="auto"/>
              <w:left w:val="nil"/>
              <w:bottom w:val="single" w:sz="4" w:space="0" w:color="auto"/>
              <w:right w:val="single" w:sz="8" w:space="0" w:color="auto"/>
            </w:tcBorders>
            <w:shd w:val="clear" w:color="auto" w:fill="000000" w:themeFill="text1"/>
            <w:vAlign w:val="center"/>
          </w:tcPr>
          <w:p w:rsidR="002C2D5C" w:rsidRPr="00941970" w:rsidRDefault="002C2D5C" w:rsidP="00C378B2">
            <w:pPr>
              <w:jc w:val="both"/>
              <w:rPr>
                <w:b/>
                <w:color w:val="FFFFFF" w:themeColor="background2"/>
                <w:sz w:val="12"/>
                <w:szCs w:val="18"/>
              </w:rPr>
            </w:pPr>
            <w:r w:rsidRPr="00941970">
              <w:rPr>
                <w:b/>
                <w:color w:val="FFFFFF" w:themeColor="background2"/>
                <w:sz w:val="12"/>
                <w:szCs w:val="18"/>
              </w:rPr>
              <w:t>2018</w:t>
            </w:r>
          </w:p>
        </w:tc>
        <w:tc>
          <w:tcPr>
            <w:tcW w:w="407" w:type="pct"/>
            <w:tcBorders>
              <w:top w:val="single" w:sz="8" w:space="0" w:color="auto"/>
              <w:left w:val="nil"/>
              <w:bottom w:val="single" w:sz="4" w:space="0" w:color="auto"/>
              <w:right w:val="single" w:sz="8" w:space="0" w:color="auto"/>
            </w:tcBorders>
            <w:shd w:val="clear" w:color="auto" w:fill="000000" w:themeFill="text1"/>
            <w:vAlign w:val="center"/>
          </w:tcPr>
          <w:p w:rsidR="002C2D5C" w:rsidRPr="00941970" w:rsidRDefault="002C2D5C" w:rsidP="00C378B2">
            <w:pPr>
              <w:jc w:val="both"/>
              <w:rPr>
                <w:b/>
                <w:color w:val="FFFFFF" w:themeColor="background2"/>
                <w:sz w:val="12"/>
                <w:szCs w:val="18"/>
              </w:rPr>
            </w:pPr>
            <w:r w:rsidRPr="00941970">
              <w:rPr>
                <w:b/>
                <w:color w:val="FFFFFF" w:themeColor="background2"/>
                <w:sz w:val="12"/>
                <w:szCs w:val="18"/>
              </w:rPr>
              <w:t>Growth</w:t>
            </w:r>
          </w:p>
        </w:tc>
      </w:tr>
      <w:tr w:rsidR="002D4F56" w:rsidRPr="00374C95" w:rsidTr="00941970">
        <w:trPr>
          <w:trHeight w:val="288"/>
        </w:trPr>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2D5C" w:rsidRPr="00941970" w:rsidRDefault="002C2D5C" w:rsidP="00C378B2">
            <w:pPr>
              <w:jc w:val="both"/>
              <w:rPr>
                <w:sz w:val="12"/>
                <w:szCs w:val="18"/>
              </w:rPr>
            </w:pPr>
            <w:r w:rsidRPr="00941970">
              <w:rPr>
                <w:sz w:val="12"/>
                <w:szCs w:val="18"/>
              </w:rPr>
              <w:t>Detached</w:t>
            </w:r>
          </w:p>
        </w:tc>
        <w:tc>
          <w:tcPr>
            <w:tcW w:w="406"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3644" w:rsidRPr="00941970" w:rsidRDefault="001C3644" w:rsidP="00941970">
            <w:pPr>
              <w:spacing w:before="0" w:after="0" w:line="240" w:lineRule="auto"/>
              <w:rPr>
                <w:sz w:val="12"/>
                <w:szCs w:val="18"/>
              </w:rPr>
            </w:pPr>
            <w:r w:rsidRPr="00941970">
              <w:rPr>
                <w:sz w:val="12"/>
                <w:szCs w:val="18"/>
              </w:rPr>
              <w:t>£210,438</w:t>
            </w:r>
          </w:p>
          <w:p w:rsidR="002C2D5C" w:rsidRPr="00941970" w:rsidRDefault="002C2D5C" w:rsidP="00941970">
            <w:pPr>
              <w:rPr>
                <w:sz w:val="12"/>
                <w:szCs w:val="18"/>
              </w:rPr>
            </w:pPr>
          </w:p>
        </w:tc>
        <w:tc>
          <w:tcPr>
            <w:tcW w:w="406"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3644" w:rsidRPr="00941970" w:rsidRDefault="001C3644" w:rsidP="00941970">
            <w:pPr>
              <w:spacing w:before="0" w:after="0" w:line="240" w:lineRule="auto"/>
              <w:rPr>
                <w:sz w:val="12"/>
                <w:szCs w:val="18"/>
              </w:rPr>
            </w:pPr>
            <w:r w:rsidRPr="00941970">
              <w:rPr>
                <w:sz w:val="12"/>
                <w:szCs w:val="18"/>
              </w:rPr>
              <w:t>£228,223</w:t>
            </w:r>
          </w:p>
          <w:p w:rsidR="002C2D5C" w:rsidRPr="00941970" w:rsidRDefault="002C2D5C" w:rsidP="00941970">
            <w:pPr>
              <w:rPr>
                <w:sz w:val="12"/>
                <w:szCs w:val="18"/>
              </w:rPr>
            </w:pPr>
          </w:p>
        </w:tc>
        <w:tc>
          <w:tcPr>
            <w:tcW w:w="407"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3644" w:rsidRPr="00941970" w:rsidRDefault="001C3644" w:rsidP="00941970">
            <w:pPr>
              <w:spacing w:before="0" w:after="0" w:line="240" w:lineRule="auto"/>
              <w:rPr>
                <w:sz w:val="12"/>
                <w:szCs w:val="18"/>
              </w:rPr>
            </w:pPr>
            <w:r w:rsidRPr="00941970">
              <w:rPr>
                <w:sz w:val="12"/>
                <w:szCs w:val="18"/>
              </w:rPr>
              <w:t>£278,731</w:t>
            </w:r>
          </w:p>
          <w:p w:rsidR="002C2D5C" w:rsidRPr="00941970" w:rsidRDefault="002C2D5C" w:rsidP="00941970">
            <w:pPr>
              <w:rPr>
                <w:sz w:val="12"/>
                <w:szCs w:val="18"/>
              </w:rPr>
            </w:pPr>
          </w:p>
        </w:tc>
        <w:tc>
          <w:tcPr>
            <w:tcW w:w="406" w:type="pct"/>
            <w:tcBorders>
              <w:top w:val="single" w:sz="4" w:space="0" w:color="auto"/>
              <w:left w:val="single" w:sz="4" w:space="0" w:color="auto"/>
              <w:bottom w:val="single" w:sz="4" w:space="0" w:color="auto"/>
              <w:right w:val="single" w:sz="4" w:space="0" w:color="auto"/>
            </w:tcBorders>
            <w:vAlign w:val="center"/>
          </w:tcPr>
          <w:p w:rsidR="001C3644" w:rsidRPr="00941970" w:rsidRDefault="001C3644" w:rsidP="00941970">
            <w:pPr>
              <w:spacing w:before="0" w:after="0" w:line="240" w:lineRule="auto"/>
              <w:rPr>
                <w:sz w:val="12"/>
                <w:szCs w:val="18"/>
              </w:rPr>
            </w:pPr>
            <w:r w:rsidRPr="00941970">
              <w:rPr>
                <w:sz w:val="12"/>
                <w:szCs w:val="18"/>
              </w:rPr>
              <w:t>£232,526</w:t>
            </w:r>
          </w:p>
          <w:p w:rsidR="002C2D5C" w:rsidRPr="00941970" w:rsidRDefault="002C2D5C" w:rsidP="00941970">
            <w:pPr>
              <w:rPr>
                <w:sz w:val="12"/>
                <w:szCs w:val="18"/>
              </w:rPr>
            </w:pPr>
          </w:p>
        </w:tc>
        <w:tc>
          <w:tcPr>
            <w:tcW w:w="406" w:type="pct"/>
            <w:tcBorders>
              <w:top w:val="single" w:sz="4" w:space="0" w:color="auto"/>
              <w:left w:val="single" w:sz="4" w:space="0" w:color="auto"/>
              <w:bottom w:val="single" w:sz="4" w:space="0" w:color="auto"/>
              <w:right w:val="single" w:sz="4" w:space="0" w:color="auto"/>
            </w:tcBorders>
            <w:vAlign w:val="center"/>
          </w:tcPr>
          <w:p w:rsidR="001C3644" w:rsidRPr="00941970" w:rsidRDefault="001C3644" w:rsidP="00941970">
            <w:pPr>
              <w:spacing w:before="0" w:after="0" w:line="240" w:lineRule="auto"/>
              <w:rPr>
                <w:sz w:val="12"/>
                <w:szCs w:val="18"/>
              </w:rPr>
            </w:pPr>
            <w:r w:rsidRPr="00941970">
              <w:rPr>
                <w:sz w:val="12"/>
                <w:szCs w:val="18"/>
              </w:rPr>
              <w:t>£237,000</w:t>
            </w:r>
          </w:p>
          <w:p w:rsidR="002C2D5C" w:rsidRPr="00941970" w:rsidRDefault="002C2D5C" w:rsidP="00941970">
            <w:pPr>
              <w:rPr>
                <w:sz w:val="12"/>
                <w:szCs w:val="18"/>
              </w:rPr>
            </w:pPr>
          </w:p>
        </w:tc>
        <w:tc>
          <w:tcPr>
            <w:tcW w:w="407" w:type="pct"/>
            <w:tcBorders>
              <w:top w:val="single" w:sz="4" w:space="0" w:color="auto"/>
              <w:left w:val="single" w:sz="4" w:space="0" w:color="auto"/>
              <w:bottom w:val="single" w:sz="4" w:space="0" w:color="auto"/>
              <w:right w:val="single" w:sz="4" w:space="0" w:color="auto"/>
            </w:tcBorders>
            <w:vAlign w:val="center"/>
          </w:tcPr>
          <w:p w:rsidR="001C3644" w:rsidRPr="00941970" w:rsidRDefault="001C3644" w:rsidP="00941970">
            <w:pPr>
              <w:spacing w:before="0" w:after="0" w:line="240" w:lineRule="auto"/>
              <w:rPr>
                <w:sz w:val="12"/>
                <w:szCs w:val="18"/>
              </w:rPr>
            </w:pPr>
            <w:r w:rsidRPr="00941970">
              <w:rPr>
                <w:sz w:val="12"/>
                <w:szCs w:val="18"/>
              </w:rPr>
              <w:t>£230,270</w:t>
            </w:r>
          </w:p>
          <w:p w:rsidR="002C2D5C" w:rsidRPr="00941970" w:rsidRDefault="002C2D5C" w:rsidP="00941970">
            <w:pPr>
              <w:rPr>
                <w:sz w:val="12"/>
                <w:szCs w:val="18"/>
              </w:rPr>
            </w:pPr>
          </w:p>
        </w:tc>
        <w:tc>
          <w:tcPr>
            <w:tcW w:w="406" w:type="pct"/>
            <w:tcBorders>
              <w:top w:val="single" w:sz="4" w:space="0" w:color="auto"/>
              <w:left w:val="single" w:sz="4" w:space="0" w:color="auto"/>
              <w:bottom w:val="single" w:sz="4" w:space="0" w:color="auto"/>
              <w:right w:val="single" w:sz="4" w:space="0" w:color="auto"/>
            </w:tcBorders>
            <w:vAlign w:val="center"/>
          </w:tcPr>
          <w:p w:rsidR="001C3644" w:rsidRPr="00941970" w:rsidRDefault="001C3644" w:rsidP="00941970">
            <w:pPr>
              <w:spacing w:before="0" w:after="0" w:line="240" w:lineRule="auto"/>
              <w:rPr>
                <w:sz w:val="12"/>
                <w:szCs w:val="18"/>
              </w:rPr>
            </w:pPr>
            <w:r w:rsidRPr="00941970">
              <w:rPr>
                <w:sz w:val="12"/>
                <w:szCs w:val="18"/>
              </w:rPr>
              <w:t>£304,000</w:t>
            </w:r>
          </w:p>
          <w:p w:rsidR="002C2D5C" w:rsidRPr="00941970" w:rsidRDefault="002C2D5C" w:rsidP="00941970">
            <w:pPr>
              <w:rPr>
                <w:sz w:val="12"/>
                <w:szCs w:val="18"/>
              </w:rPr>
            </w:pPr>
          </w:p>
        </w:tc>
        <w:tc>
          <w:tcPr>
            <w:tcW w:w="406" w:type="pct"/>
            <w:tcBorders>
              <w:top w:val="single" w:sz="4" w:space="0" w:color="auto"/>
              <w:left w:val="single" w:sz="4" w:space="0" w:color="auto"/>
              <w:bottom w:val="single" w:sz="4" w:space="0" w:color="auto"/>
              <w:right w:val="single" w:sz="4" w:space="0" w:color="auto"/>
            </w:tcBorders>
            <w:vAlign w:val="center"/>
          </w:tcPr>
          <w:p w:rsidR="001C3644" w:rsidRPr="00941970" w:rsidRDefault="001C3644" w:rsidP="00941970">
            <w:pPr>
              <w:spacing w:before="0" w:after="0" w:line="240" w:lineRule="auto"/>
              <w:rPr>
                <w:sz w:val="12"/>
                <w:szCs w:val="18"/>
              </w:rPr>
            </w:pPr>
            <w:r w:rsidRPr="00941970">
              <w:rPr>
                <w:sz w:val="12"/>
                <w:szCs w:val="18"/>
              </w:rPr>
              <w:t>£290,833</w:t>
            </w:r>
          </w:p>
          <w:p w:rsidR="002C2D5C" w:rsidRPr="00941970" w:rsidRDefault="002C2D5C" w:rsidP="00941970">
            <w:pPr>
              <w:rPr>
                <w:sz w:val="12"/>
                <w:szCs w:val="18"/>
              </w:rPr>
            </w:pPr>
          </w:p>
        </w:tc>
        <w:tc>
          <w:tcPr>
            <w:tcW w:w="407" w:type="pct"/>
            <w:tcBorders>
              <w:top w:val="single" w:sz="4" w:space="0" w:color="auto"/>
              <w:left w:val="single" w:sz="4" w:space="0" w:color="auto"/>
              <w:bottom w:val="single" w:sz="4" w:space="0" w:color="auto"/>
              <w:right w:val="single" w:sz="4" w:space="0" w:color="auto"/>
            </w:tcBorders>
            <w:vAlign w:val="center"/>
          </w:tcPr>
          <w:p w:rsidR="001C3644" w:rsidRPr="00941970" w:rsidRDefault="001C3644" w:rsidP="00941970">
            <w:pPr>
              <w:spacing w:before="0" w:after="0" w:line="240" w:lineRule="auto"/>
              <w:rPr>
                <w:sz w:val="12"/>
                <w:szCs w:val="18"/>
              </w:rPr>
            </w:pPr>
            <w:r w:rsidRPr="00941970">
              <w:rPr>
                <w:sz w:val="12"/>
                <w:szCs w:val="18"/>
              </w:rPr>
              <w:t>£311,818</w:t>
            </w:r>
          </w:p>
          <w:p w:rsidR="002C2D5C" w:rsidRPr="00941970" w:rsidRDefault="002C2D5C" w:rsidP="00941970">
            <w:pPr>
              <w:rPr>
                <w:sz w:val="12"/>
                <w:szCs w:val="18"/>
              </w:rPr>
            </w:pPr>
          </w:p>
        </w:tc>
        <w:tc>
          <w:tcPr>
            <w:tcW w:w="406" w:type="pct"/>
            <w:tcBorders>
              <w:top w:val="single" w:sz="4" w:space="0" w:color="auto"/>
              <w:left w:val="single" w:sz="4" w:space="0" w:color="auto"/>
              <w:bottom w:val="single" w:sz="4" w:space="0" w:color="auto"/>
              <w:right w:val="single" w:sz="4" w:space="0" w:color="auto"/>
            </w:tcBorders>
            <w:vAlign w:val="center"/>
          </w:tcPr>
          <w:p w:rsidR="001C3644" w:rsidRPr="00941970" w:rsidRDefault="001C3644" w:rsidP="00941970">
            <w:pPr>
              <w:spacing w:before="0" w:after="0" w:line="240" w:lineRule="auto"/>
              <w:rPr>
                <w:sz w:val="12"/>
                <w:szCs w:val="18"/>
              </w:rPr>
            </w:pPr>
            <w:r w:rsidRPr="00941970">
              <w:rPr>
                <w:sz w:val="12"/>
                <w:szCs w:val="18"/>
              </w:rPr>
              <w:t>£386,000</w:t>
            </w:r>
          </w:p>
          <w:p w:rsidR="002C2D5C" w:rsidRPr="00941970" w:rsidRDefault="002C2D5C" w:rsidP="00941970">
            <w:pPr>
              <w:rPr>
                <w:sz w:val="12"/>
                <w:szCs w:val="18"/>
              </w:rPr>
            </w:pPr>
          </w:p>
        </w:tc>
        <w:tc>
          <w:tcPr>
            <w:tcW w:w="407" w:type="pct"/>
            <w:tcBorders>
              <w:top w:val="single" w:sz="4" w:space="0" w:color="auto"/>
              <w:left w:val="single" w:sz="4" w:space="0" w:color="auto"/>
              <w:bottom w:val="single" w:sz="4" w:space="0" w:color="auto"/>
              <w:right w:val="single" w:sz="4" w:space="0" w:color="auto"/>
            </w:tcBorders>
            <w:vAlign w:val="center"/>
          </w:tcPr>
          <w:p w:rsidR="001C3644" w:rsidRPr="00941970" w:rsidRDefault="001C3644" w:rsidP="00941970">
            <w:pPr>
              <w:spacing w:before="0" w:after="0" w:line="240" w:lineRule="auto"/>
              <w:rPr>
                <w:sz w:val="12"/>
                <w:szCs w:val="18"/>
              </w:rPr>
            </w:pPr>
            <w:r w:rsidRPr="00941970">
              <w:rPr>
                <w:sz w:val="12"/>
                <w:szCs w:val="18"/>
              </w:rPr>
              <w:t>83.4%</w:t>
            </w:r>
          </w:p>
          <w:p w:rsidR="002C2D5C" w:rsidRPr="00941970" w:rsidRDefault="002C2D5C" w:rsidP="00941970">
            <w:pPr>
              <w:rPr>
                <w:b/>
                <w:sz w:val="12"/>
                <w:szCs w:val="18"/>
              </w:rPr>
            </w:pPr>
          </w:p>
        </w:tc>
      </w:tr>
      <w:tr w:rsidR="002D4F56" w:rsidRPr="00374C95" w:rsidTr="00941970">
        <w:trPr>
          <w:trHeight w:val="288"/>
        </w:trPr>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2D5C" w:rsidRPr="00941970" w:rsidRDefault="002C2D5C" w:rsidP="00C378B2">
            <w:pPr>
              <w:jc w:val="both"/>
              <w:rPr>
                <w:sz w:val="12"/>
                <w:szCs w:val="18"/>
              </w:rPr>
            </w:pPr>
            <w:r w:rsidRPr="00941970">
              <w:rPr>
                <w:sz w:val="12"/>
                <w:szCs w:val="18"/>
              </w:rPr>
              <w:t>Semi-detached</w:t>
            </w:r>
          </w:p>
        </w:tc>
        <w:tc>
          <w:tcPr>
            <w:tcW w:w="406" w:type="pct"/>
            <w:tcBorders>
              <w:top w:val="single" w:sz="4" w:space="0" w:color="auto"/>
              <w:left w:val="single" w:sz="4" w:space="0" w:color="auto"/>
              <w:bottom w:val="single" w:sz="4" w:space="0" w:color="auto"/>
              <w:right w:val="single" w:sz="4" w:space="0" w:color="auto"/>
            </w:tcBorders>
            <w:shd w:val="clear" w:color="auto" w:fill="auto"/>
            <w:noWrap/>
            <w:vAlign w:val="center"/>
          </w:tcPr>
          <w:p w:rsidR="0043702D" w:rsidRPr="00941970" w:rsidRDefault="0043702D" w:rsidP="00941970">
            <w:pPr>
              <w:spacing w:before="0" w:after="0" w:line="240" w:lineRule="auto"/>
              <w:rPr>
                <w:sz w:val="12"/>
                <w:szCs w:val="18"/>
              </w:rPr>
            </w:pPr>
            <w:r w:rsidRPr="00941970">
              <w:rPr>
                <w:sz w:val="12"/>
                <w:szCs w:val="18"/>
              </w:rPr>
              <w:t>£96,564</w:t>
            </w:r>
          </w:p>
          <w:p w:rsidR="002C2D5C" w:rsidRPr="00941970" w:rsidRDefault="002C2D5C" w:rsidP="00941970">
            <w:pPr>
              <w:rPr>
                <w:sz w:val="12"/>
                <w:szCs w:val="18"/>
              </w:rPr>
            </w:pPr>
          </w:p>
        </w:tc>
        <w:tc>
          <w:tcPr>
            <w:tcW w:w="406" w:type="pct"/>
            <w:tcBorders>
              <w:top w:val="single" w:sz="4" w:space="0" w:color="auto"/>
              <w:left w:val="single" w:sz="4" w:space="0" w:color="auto"/>
              <w:bottom w:val="single" w:sz="4" w:space="0" w:color="auto"/>
              <w:right w:val="single" w:sz="4" w:space="0" w:color="auto"/>
            </w:tcBorders>
            <w:shd w:val="clear" w:color="auto" w:fill="auto"/>
            <w:noWrap/>
            <w:vAlign w:val="center"/>
          </w:tcPr>
          <w:p w:rsidR="0043702D" w:rsidRPr="00941970" w:rsidRDefault="0043702D" w:rsidP="00941970">
            <w:pPr>
              <w:spacing w:before="0" w:after="0" w:line="240" w:lineRule="auto"/>
              <w:rPr>
                <w:sz w:val="12"/>
                <w:szCs w:val="18"/>
              </w:rPr>
            </w:pPr>
            <w:r w:rsidRPr="00941970">
              <w:rPr>
                <w:sz w:val="12"/>
                <w:szCs w:val="18"/>
              </w:rPr>
              <w:t>£161,750</w:t>
            </w:r>
          </w:p>
          <w:p w:rsidR="002C2D5C" w:rsidRPr="00941970" w:rsidRDefault="002C2D5C" w:rsidP="00941970">
            <w:pPr>
              <w:rPr>
                <w:sz w:val="12"/>
                <w:szCs w:val="18"/>
              </w:rPr>
            </w:pPr>
          </w:p>
        </w:tc>
        <w:tc>
          <w:tcPr>
            <w:tcW w:w="407" w:type="pct"/>
            <w:tcBorders>
              <w:top w:val="single" w:sz="4" w:space="0" w:color="auto"/>
              <w:left w:val="single" w:sz="4" w:space="0" w:color="auto"/>
              <w:bottom w:val="single" w:sz="4" w:space="0" w:color="auto"/>
              <w:right w:val="single" w:sz="4" w:space="0" w:color="auto"/>
            </w:tcBorders>
            <w:shd w:val="clear" w:color="auto" w:fill="auto"/>
            <w:noWrap/>
            <w:vAlign w:val="center"/>
          </w:tcPr>
          <w:p w:rsidR="0043702D" w:rsidRPr="00941970" w:rsidRDefault="0043702D" w:rsidP="00941970">
            <w:pPr>
              <w:spacing w:before="0" w:after="0" w:line="240" w:lineRule="auto"/>
              <w:rPr>
                <w:sz w:val="12"/>
                <w:szCs w:val="18"/>
              </w:rPr>
            </w:pPr>
            <w:r w:rsidRPr="00941970">
              <w:rPr>
                <w:sz w:val="12"/>
                <w:szCs w:val="18"/>
              </w:rPr>
              <w:t>£202,000</w:t>
            </w:r>
          </w:p>
          <w:p w:rsidR="002C2D5C" w:rsidRPr="00941970" w:rsidRDefault="002C2D5C" w:rsidP="00941970">
            <w:pPr>
              <w:rPr>
                <w:sz w:val="12"/>
                <w:szCs w:val="18"/>
              </w:rPr>
            </w:pPr>
          </w:p>
        </w:tc>
        <w:tc>
          <w:tcPr>
            <w:tcW w:w="406" w:type="pct"/>
            <w:tcBorders>
              <w:top w:val="single" w:sz="4" w:space="0" w:color="auto"/>
              <w:left w:val="single" w:sz="4" w:space="0" w:color="auto"/>
              <w:bottom w:val="single" w:sz="4" w:space="0" w:color="auto"/>
              <w:right w:val="single" w:sz="4" w:space="0" w:color="auto"/>
            </w:tcBorders>
            <w:vAlign w:val="center"/>
          </w:tcPr>
          <w:p w:rsidR="0043702D" w:rsidRPr="00941970" w:rsidRDefault="0043702D" w:rsidP="00941970">
            <w:pPr>
              <w:spacing w:before="0" w:after="0" w:line="240" w:lineRule="auto"/>
              <w:rPr>
                <w:sz w:val="12"/>
                <w:szCs w:val="18"/>
              </w:rPr>
            </w:pPr>
            <w:r w:rsidRPr="00941970">
              <w:rPr>
                <w:sz w:val="12"/>
                <w:szCs w:val="18"/>
              </w:rPr>
              <w:t>£168,143</w:t>
            </w:r>
          </w:p>
          <w:p w:rsidR="002C2D5C" w:rsidRPr="00941970" w:rsidRDefault="002C2D5C" w:rsidP="00941970">
            <w:pPr>
              <w:rPr>
                <w:sz w:val="12"/>
                <w:szCs w:val="18"/>
              </w:rPr>
            </w:pPr>
          </w:p>
        </w:tc>
        <w:tc>
          <w:tcPr>
            <w:tcW w:w="406" w:type="pct"/>
            <w:tcBorders>
              <w:top w:val="single" w:sz="4" w:space="0" w:color="auto"/>
              <w:left w:val="single" w:sz="4" w:space="0" w:color="auto"/>
              <w:bottom w:val="single" w:sz="4" w:space="0" w:color="auto"/>
              <w:right w:val="single" w:sz="4" w:space="0" w:color="auto"/>
            </w:tcBorders>
            <w:vAlign w:val="center"/>
          </w:tcPr>
          <w:p w:rsidR="0043702D" w:rsidRPr="00941970" w:rsidRDefault="0043702D" w:rsidP="00941970">
            <w:pPr>
              <w:spacing w:before="0" w:after="0" w:line="240" w:lineRule="auto"/>
              <w:rPr>
                <w:sz w:val="12"/>
                <w:szCs w:val="18"/>
              </w:rPr>
            </w:pPr>
            <w:r w:rsidRPr="00941970">
              <w:rPr>
                <w:sz w:val="12"/>
                <w:szCs w:val="18"/>
              </w:rPr>
              <w:t>£150,800</w:t>
            </w:r>
          </w:p>
          <w:p w:rsidR="002C2D5C" w:rsidRPr="00941970" w:rsidRDefault="002C2D5C" w:rsidP="00941970">
            <w:pPr>
              <w:rPr>
                <w:sz w:val="12"/>
                <w:szCs w:val="18"/>
              </w:rPr>
            </w:pPr>
          </w:p>
        </w:tc>
        <w:tc>
          <w:tcPr>
            <w:tcW w:w="407" w:type="pct"/>
            <w:tcBorders>
              <w:top w:val="single" w:sz="4" w:space="0" w:color="auto"/>
              <w:left w:val="single" w:sz="4" w:space="0" w:color="auto"/>
              <w:bottom w:val="single" w:sz="4" w:space="0" w:color="auto"/>
              <w:right w:val="single" w:sz="4" w:space="0" w:color="auto"/>
            </w:tcBorders>
            <w:vAlign w:val="center"/>
          </w:tcPr>
          <w:p w:rsidR="0043702D" w:rsidRPr="00941970" w:rsidRDefault="0043702D" w:rsidP="00941970">
            <w:pPr>
              <w:spacing w:before="0" w:after="0" w:line="240" w:lineRule="auto"/>
              <w:rPr>
                <w:sz w:val="12"/>
                <w:szCs w:val="18"/>
              </w:rPr>
            </w:pPr>
            <w:r w:rsidRPr="00941970">
              <w:rPr>
                <w:sz w:val="12"/>
                <w:szCs w:val="18"/>
              </w:rPr>
              <w:t>£178,492</w:t>
            </w:r>
          </w:p>
          <w:p w:rsidR="002C2D5C" w:rsidRPr="00941970" w:rsidRDefault="002C2D5C" w:rsidP="00941970">
            <w:pPr>
              <w:rPr>
                <w:sz w:val="12"/>
                <w:szCs w:val="18"/>
              </w:rPr>
            </w:pPr>
          </w:p>
        </w:tc>
        <w:tc>
          <w:tcPr>
            <w:tcW w:w="406" w:type="pct"/>
            <w:tcBorders>
              <w:top w:val="single" w:sz="4" w:space="0" w:color="auto"/>
              <w:left w:val="single" w:sz="4" w:space="0" w:color="auto"/>
              <w:bottom w:val="single" w:sz="4" w:space="0" w:color="auto"/>
              <w:right w:val="single" w:sz="4" w:space="0" w:color="auto"/>
            </w:tcBorders>
            <w:vAlign w:val="center"/>
          </w:tcPr>
          <w:p w:rsidR="0043702D" w:rsidRPr="00941970" w:rsidRDefault="0043702D" w:rsidP="00941970">
            <w:pPr>
              <w:spacing w:before="0" w:after="0" w:line="240" w:lineRule="auto"/>
              <w:rPr>
                <w:sz w:val="12"/>
                <w:szCs w:val="18"/>
              </w:rPr>
            </w:pPr>
            <w:r w:rsidRPr="00941970">
              <w:rPr>
                <w:sz w:val="12"/>
                <w:szCs w:val="18"/>
              </w:rPr>
              <w:t>£187,038</w:t>
            </w:r>
          </w:p>
          <w:p w:rsidR="002C2D5C" w:rsidRPr="00941970" w:rsidRDefault="002C2D5C" w:rsidP="00941970">
            <w:pPr>
              <w:rPr>
                <w:sz w:val="12"/>
                <w:szCs w:val="18"/>
              </w:rPr>
            </w:pPr>
          </w:p>
        </w:tc>
        <w:tc>
          <w:tcPr>
            <w:tcW w:w="406" w:type="pct"/>
            <w:tcBorders>
              <w:top w:val="single" w:sz="4" w:space="0" w:color="auto"/>
              <w:left w:val="single" w:sz="4" w:space="0" w:color="auto"/>
              <w:bottom w:val="single" w:sz="4" w:space="0" w:color="auto"/>
              <w:right w:val="single" w:sz="4" w:space="0" w:color="auto"/>
            </w:tcBorders>
            <w:vAlign w:val="center"/>
          </w:tcPr>
          <w:p w:rsidR="0043702D" w:rsidRPr="00941970" w:rsidRDefault="0043702D" w:rsidP="00941970">
            <w:pPr>
              <w:spacing w:before="0" w:after="0" w:line="240" w:lineRule="auto"/>
              <w:rPr>
                <w:sz w:val="12"/>
                <w:szCs w:val="18"/>
              </w:rPr>
            </w:pPr>
            <w:r w:rsidRPr="00941970">
              <w:rPr>
                <w:sz w:val="12"/>
                <w:szCs w:val="18"/>
              </w:rPr>
              <w:t>£216,563</w:t>
            </w:r>
          </w:p>
          <w:p w:rsidR="002C2D5C" w:rsidRPr="00941970" w:rsidRDefault="002C2D5C" w:rsidP="00941970">
            <w:pPr>
              <w:rPr>
                <w:sz w:val="12"/>
                <w:szCs w:val="18"/>
              </w:rPr>
            </w:pPr>
          </w:p>
        </w:tc>
        <w:tc>
          <w:tcPr>
            <w:tcW w:w="407" w:type="pct"/>
            <w:tcBorders>
              <w:top w:val="single" w:sz="4" w:space="0" w:color="auto"/>
              <w:left w:val="single" w:sz="4" w:space="0" w:color="auto"/>
              <w:bottom w:val="single" w:sz="4" w:space="0" w:color="auto"/>
              <w:right w:val="single" w:sz="4" w:space="0" w:color="auto"/>
            </w:tcBorders>
            <w:vAlign w:val="center"/>
          </w:tcPr>
          <w:p w:rsidR="0043702D" w:rsidRPr="00941970" w:rsidRDefault="0043702D" w:rsidP="00941970">
            <w:pPr>
              <w:spacing w:before="0" w:after="0" w:line="240" w:lineRule="auto"/>
              <w:rPr>
                <w:sz w:val="12"/>
                <w:szCs w:val="18"/>
              </w:rPr>
            </w:pPr>
            <w:r w:rsidRPr="00941970">
              <w:rPr>
                <w:sz w:val="12"/>
                <w:szCs w:val="18"/>
              </w:rPr>
              <w:t>£247,455</w:t>
            </w:r>
          </w:p>
          <w:p w:rsidR="002C2D5C" w:rsidRPr="00941970" w:rsidRDefault="002C2D5C" w:rsidP="00941970">
            <w:pPr>
              <w:rPr>
                <w:sz w:val="12"/>
                <w:szCs w:val="18"/>
              </w:rPr>
            </w:pPr>
          </w:p>
        </w:tc>
        <w:tc>
          <w:tcPr>
            <w:tcW w:w="406" w:type="pct"/>
            <w:tcBorders>
              <w:top w:val="single" w:sz="4" w:space="0" w:color="auto"/>
              <w:left w:val="single" w:sz="4" w:space="0" w:color="auto"/>
              <w:bottom w:val="single" w:sz="4" w:space="0" w:color="auto"/>
              <w:right w:val="single" w:sz="4" w:space="0" w:color="auto"/>
            </w:tcBorders>
            <w:vAlign w:val="center"/>
          </w:tcPr>
          <w:p w:rsidR="0043702D" w:rsidRPr="00941970" w:rsidRDefault="0043702D" w:rsidP="00941970">
            <w:pPr>
              <w:spacing w:before="0" w:after="0" w:line="240" w:lineRule="auto"/>
              <w:rPr>
                <w:sz w:val="12"/>
                <w:szCs w:val="18"/>
              </w:rPr>
            </w:pPr>
            <w:r w:rsidRPr="00941970">
              <w:rPr>
                <w:sz w:val="12"/>
                <w:szCs w:val="18"/>
              </w:rPr>
              <w:t>£198,700</w:t>
            </w:r>
          </w:p>
          <w:p w:rsidR="002C2D5C" w:rsidRPr="00941970" w:rsidRDefault="002C2D5C" w:rsidP="00941970">
            <w:pPr>
              <w:rPr>
                <w:sz w:val="12"/>
                <w:szCs w:val="18"/>
              </w:rPr>
            </w:pPr>
          </w:p>
        </w:tc>
        <w:tc>
          <w:tcPr>
            <w:tcW w:w="407" w:type="pct"/>
            <w:tcBorders>
              <w:top w:val="single" w:sz="4" w:space="0" w:color="auto"/>
              <w:left w:val="single" w:sz="4" w:space="0" w:color="auto"/>
              <w:bottom w:val="single" w:sz="4" w:space="0" w:color="auto"/>
              <w:right w:val="single" w:sz="4" w:space="0" w:color="auto"/>
            </w:tcBorders>
            <w:vAlign w:val="center"/>
          </w:tcPr>
          <w:p w:rsidR="0043702D" w:rsidRPr="00941970" w:rsidRDefault="0043702D" w:rsidP="00941970">
            <w:pPr>
              <w:spacing w:before="0" w:after="0" w:line="240" w:lineRule="auto"/>
              <w:rPr>
                <w:sz w:val="12"/>
                <w:szCs w:val="18"/>
              </w:rPr>
            </w:pPr>
            <w:r w:rsidRPr="00941970">
              <w:rPr>
                <w:sz w:val="12"/>
                <w:szCs w:val="18"/>
              </w:rPr>
              <w:t>105.8%</w:t>
            </w:r>
          </w:p>
          <w:p w:rsidR="002C2D5C" w:rsidRPr="00941970" w:rsidRDefault="002C2D5C" w:rsidP="00941970">
            <w:pPr>
              <w:rPr>
                <w:b/>
                <w:sz w:val="12"/>
                <w:szCs w:val="18"/>
              </w:rPr>
            </w:pPr>
          </w:p>
        </w:tc>
      </w:tr>
      <w:tr w:rsidR="002D4F56" w:rsidRPr="00374C95" w:rsidTr="00941970">
        <w:trPr>
          <w:trHeight w:val="288"/>
        </w:trPr>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2D5C" w:rsidRPr="00941970" w:rsidRDefault="002C2D5C" w:rsidP="00C378B2">
            <w:pPr>
              <w:jc w:val="both"/>
              <w:rPr>
                <w:sz w:val="12"/>
                <w:szCs w:val="18"/>
              </w:rPr>
            </w:pPr>
            <w:r w:rsidRPr="00941970">
              <w:rPr>
                <w:sz w:val="12"/>
                <w:szCs w:val="18"/>
              </w:rPr>
              <w:t>Terraced</w:t>
            </w:r>
          </w:p>
        </w:tc>
        <w:tc>
          <w:tcPr>
            <w:tcW w:w="406" w:type="pct"/>
            <w:tcBorders>
              <w:top w:val="single" w:sz="4" w:space="0" w:color="auto"/>
              <w:left w:val="single" w:sz="4" w:space="0" w:color="auto"/>
              <w:bottom w:val="single" w:sz="4" w:space="0" w:color="auto"/>
              <w:right w:val="single" w:sz="4" w:space="0" w:color="auto"/>
            </w:tcBorders>
            <w:shd w:val="clear" w:color="auto" w:fill="auto"/>
            <w:noWrap/>
            <w:vAlign w:val="center"/>
          </w:tcPr>
          <w:p w:rsidR="0043702D" w:rsidRPr="00941970" w:rsidRDefault="0043702D" w:rsidP="00941970">
            <w:pPr>
              <w:spacing w:before="0" w:after="0" w:line="240" w:lineRule="auto"/>
              <w:rPr>
                <w:sz w:val="12"/>
                <w:szCs w:val="18"/>
              </w:rPr>
            </w:pPr>
            <w:r w:rsidRPr="00941970">
              <w:rPr>
                <w:sz w:val="12"/>
                <w:szCs w:val="18"/>
              </w:rPr>
              <w:t>£108,000</w:t>
            </w:r>
          </w:p>
          <w:p w:rsidR="002C2D5C" w:rsidRPr="00941970" w:rsidRDefault="002C2D5C" w:rsidP="00941970">
            <w:pPr>
              <w:rPr>
                <w:sz w:val="12"/>
                <w:szCs w:val="18"/>
              </w:rPr>
            </w:pPr>
          </w:p>
        </w:tc>
        <w:tc>
          <w:tcPr>
            <w:tcW w:w="406" w:type="pct"/>
            <w:tcBorders>
              <w:top w:val="single" w:sz="4" w:space="0" w:color="auto"/>
              <w:left w:val="single" w:sz="4" w:space="0" w:color="auto"/>
              <w:bottom w:val="single" w:sz="4" w:space="0" w:color="auto"/>
              <w:right w:val="single" w:sz="4" w:space="0" w:color="auto"/>
            </w:tcBorders>
            <w:shd w:val="clear" w:color="auto" w:fill="auto"/>
            <w:noWrap/>
            <w:vAlign w:val="center"/>
          </w:tcPr>
          <w:p w:rsidR="0043702D" w:rsidRPr="00941970" w:rsidRDefault="0043702D" w:rsidP="00941970">
            <w:pPr>
              <w:spacing w:before="0" w:after="0" w:line="240" w:lineRule="auto"/>
              <w:rPr>
                <w:sz w:val="12"/>
                <w:szCs w:val="18"/>
              </w:rPr>
            </w:pPr>
            <w:r w:rsidRPr="00941970">
              <w:rPr>
                <w:sz w:val="12"/>
                <w:szCs w:val="18"/>
              </w:rPr>
              <w:t>£141,000</w:t>
            </w:r>
          </w:p>
          <w:p w:rsidR="002C2D5C" w:rsidRPr="00941970" w:rsidRDefault="002C2D5C" w:rsidP="00941970">
            <w:pPr>
              <w:rPr>
                <w:sz w:val="12"/>
                <w:szCs w:val="18"/>
              </w:rPr>
            </w:pPr>
          </w:p>
        </w:tc>
        <w:tc>
          <w:tcPr>
            <w:tcW w:w="407" w:type="pct"/>
            <w:tcBorders>
              <w:top w:val="single" w:sz="4" w:space="0" w:color="auto"/>
              <w:left w:val="single" w:sz="4" w:space="0" w:color="auto"/>
              <w:bottom w:val="single" w:sz="4" w:space="0" w:color="auto"/>
              <w:right w:val="single" w:sz="4" w:space="0" w:color="auto"/>
            </w:tcBorders>
            <w:shd w:val="clear" w:color="auto" w:fill="auto"/>
            <w:noWrap/>
            <w:vAlign w:val="center"/>
          </w:tcPr>
          <w:p w:rsidR="00F421EC" w:rsidRPr="00941970" w:rsidRDefault="00F421EC" w:rsidP="00941970">
            <w:pPr>
              <w:spacing w:before="0" w:after="0" w:line="240" w:lineRule="auto"/>
              <w:rPr>
                <w:sz w:val="12"/>
                <w:szCs w:val="18"/>
              </w:rPr>
            </w:pPr>
            <w:r w:rsidRPr="00941970">
              <w:rPr>
                <w:sz w:val="12"/>
                <w:szCs w:val="18"/>
              </w:rPr>
              <w:t>£168,000</w:t>
            </w:r>
          </w:p>
          <w:p w:rsidR="002C2D5C" w:rsidRPr="00941970" w:rsidRDefault="002C2D5C" w:rsidP="00941970">
            <w:pPr>
              <w:rPr>
                <w:sz w:val="12"/>
                <w:szCs w:val="18"/>
              </w:rPr>
            </w:pPr>
          </w:p>
        </w:tc>
        <w:tc>
          <w:tcPr>
            <w:tcW w:w="406" w:type="pct"/>
            <w:tcBorders>
              <w:top w:val="single" w:sz="4" w:space="0" w:color="auto"/>
              <w:left w:val="single" w:sz="4" w:space="0" w:color="auto"/>
              <w:bottom w:val="single" w:sz="4" w:space="0" w:color="auto"/>
              <w:right w:val="single" w:sz="4" w:space="0" w:color="auto"/>
            </w:tcBorders>
            <w:vAlign w:val="center"/>
          </w:tcPr>
          <w:p w:rsidR="00F421EC" w:rsidRPr="00941970" w:rsidRDefault="00F421EC" w:rsidP="00941970">
            <w:pPr>
              <w:spacing w:before="0" w:after="0" w:line="240" w:lineRule="auto"/>
              <w:rPr>
                <w:sz w:val="12"/>
                <w:szCs w:val="18"/>
              </w:rPr>
            </w:pPr>
            <w:r w:rsidRPr="00941970">
              <w:rPr>
                <w:sz w:val="12"/>
                <w:szCs w:val="18"/>
              </w:rPr>
              <w:t>£194,500</w:t>
            </w:r>
          </w:p>
          <w:p w:rsidR="002C2D5C" w:rsidRPr="00941970" w:rsidRDefault="002C2D5C" w:rsidP="00941970">
            <w:pPr>
              <w:rPr>
                <w:sz w:val="12"/>
                <w:szCs w:val="18"/>
              </w:rPr>
            </w:pPr>
          </w:p>
        </w:tc>
        <w:tc>
          <w:tcPr>
            <w:tcW w:w="406" w:type="pct"/>
            <w:tcBorders>
              <w:top w:val="single" w:sz="4" w:space="0" w:color="auto"/>
              <w:left w:val="single" w:sz="4" w:space="0" w:color="auto"/>
              <w:bottom w:val="single" w:sz="4" w:space="0" w:color="auto"/>
              <w:right w:val="single" w:sz="4" w:space="0" w:color="auto"/>
            </w:tcBorders>
            <w:vAlign w:val="center"/>
          </w:tcPr>
          <w:p w:rsidR="00F421EC" w:rsidRPr="00941970" w:rsidRDefault="00F421EC" w:rsidP="00941970">
            <w:pPr>
              <w:spacing w:before="0" w:after="0" w:line="240" w:lineRule="auto"/>
              <w:rPr>
                <w:sz w:val="12"/>
                <w:szCs w:val="18"/>
              </w:rPr>
            </w:pPr>
            <w:r w:rsidRPr="00941970">
              <w:rPr>
                <w:sz w:val="12"/>
                <w:szCs w:val="18"/>
              </w:rPr>
              <w:t>£168,750</w:t>
            </w:r>
          </w:p>
          <w:p w:rsidR="002C2D5C" w:rsidRPr="00941970" w:rsidRDefault="002C2D5C" w:rsidP="00941970">
            <w:pPr>
              <w:rPr>
                <w:sz w:val="12"/>
                <w:szCs w:val="18"/>
              </w:rPr>
            </w:pPr>
          </w:p>
        </w:tc>
        <w:tc>
          <w:tcPr>
            <w:tcW w:w="407" w:type="pct"/>
            <w:tcBorders>
              <w:top w:val="single" w:sz="4" w:space="0" w:color="auto"/>
              <w:left w:val="single" w:sz="4" w:space="0" w:color="auto"/>
              <w:bottom w:val="single" w:sz="4" w:space="0" w:color="auto"/>
              <w:right w:val="single" w:sz="4" w:space="0" w:color="auto"/>
            </w:tcBorders>
            <w:vAlign w:val="center"/>
          </w:tcPr>
          <w:p w:rsidR="00F421EC" w:rsidRPr="00941970" w:rsidRDefault="00F421EC" w:rsidP="00941970">
            <w:pPr>
              <w:spacing w:before="0" w:after="0" w:line="240" w:lineRule="auto"/>
              <w:rPr>
                <w:sz w:val="12"/>
                <w:szCs w:val="18"/>
              </w:rPr>
            </w:pPr>
            <w:r w:rsidRPr="00941970">
              <w:rPr>
                <w:sz w:val="12"/>
                <w:szCs w:val="18"/>
              </w:rPr>
              <w:t>£173,393</w:t>
            </w:r>
          </w:p>
          <w:p w:rsidR="002C2D5C" w:rsidRPr="00941970" w:rsidRDefault="002C2D5C" w:rsidP="00941970">
            <w:pPr>
              <w:rPr>
                <w:sz w:val="12"/>
                <w:szCs w:val="18"/>
              </w:rPr>
            </w:pPr>
          </w:p>
        </w:tc>
        <w:tc>
          <w:tcPr>
            <w:tcW w:w="406" w:type="pct"/>
            <w:tcBorders>
              <w:top w:val="single" w:sz="4" w:space="0" w:color="auto"/>
              <w:left w:val="single" w:sz="4" w:space="0" w:color="auto"/>
              <w:bottom w:val="single" w:sz="4" w:space="0" w:color="auto"/>
              <w:right w:val="single" w:sz="4" w:space="0" w:color="auto"/>
            </w:tcBorders>
            <w:vAlign w:val="center"/>
          </w:tcPr>
          <w:p w:rsidR="00F421EC" w:rsidRPr="00941970" w:rsidRDefault="00F421EC" w:rsidP="00941970">
            <w:pPr>
              <w:spacing w:before="0" w:after="0" w:line="240" w:lineRule="auto"/>
              <w:rPr>
                <w:sz w:val="12"/>
                <w:szCs w:val="18"/>
              </w:rPr>
            </w:pPr>
            <w:r w:rsidRPr="00941970">
              <w:rPr>
                <w:sz w:val="12"/>
                <w:szCs w:val="18"/>
              </w:rPr>
              <w:t>£148,333</w:t>
            </w:r>
          </w:p>
          <w:p w:rsidR="002C2D5C" w:rsidRPr="00941970" w:rsidRDefault="002C2D5C" w:rsidP="00941970">
            <w:pPr>
              <w:rPr>
                <w:sz w:val="12"/>
                <w:szCs w:val="18"/>
              </w:rPr>
            </w:pPr>
          </w:p>
        </w:tc>
        <w:tc>
          <w:tcPr>
            <w:tcW w:w="406" w:type="pct"/>
            <w:tcBorders>
              <w:top w:val="single" w:sz="4" w:space="0" w:color="auto"/>
              <w:left w:val="single" w:sz="4" w:space="0" w:color="auto"/>
              <w:bottom w:val="single" w:sz="4" w:space="0" w:color="auto"/>
              <w:right w:val="single" w:sz="4" w:space="0" w:color="auto"/>
            </w:tcBorders>
            <w:vAlign w:val="center"/>
          </w:tcPr>
          <w:p w:rsidR="00F421EC" w:rsidRPr="00941970" w:rsidRDefault="00F421EC" w:rsidP="00941970">
            <w:pPr>
              <w:spacing w:before="0" w:after="0" w:line="240" w:lineRule="auto"/>
              <w:rPr>
                <w:sz w:val="12"/>
                <w:szCs w:val="18"/>
              </w:rPr>
            </w:pPr>
            <w:r w:rsidRPr="00941970">
              <w:rPr>
                <w:sz w:val="12"/>
                <w:szCs w:val="18"/>
              </w:rPr>
              <w:t>£231,417</w:t>
            </w:r>
          </w:p>
          <w:p w:rsidR="002C2D5C" w:rsidRPr="00941970" w:rsidRDefault="002C2D5C" w:rsidP="00941970">
            <w:pPr>
              <w:rPr>
                <w:sz w:val="12"/>
                <w:szCs w:val="18"/>
              </w:rPr>
            </w:pPr>
          </w:p>
        </w:tc>
        <w:tc>
          <w:tcPr>
            <w:tcW w:w="407" w:type="pct"/>
            <w:tcBorders>
              <w:top w:val="single" w:sz="4" w:space="0" w:color="auto"/>
              <w:left w:val="single" w:sz="4" w:space="0" w:color="auto"/>
              <w:bottom w:val="single" w:sz="4" w:space="0" w:color="auto"/>
              <w:right w:val="single" w:sz="4" w:space="0" w:color="auto"/>
            </w:tcBorders>
            <w:vAlign w:val="center"/>
          </w:tcPr>
          <w:p w:rsidR="00F421EC" w:rsidRPr="00941970" w:rsidRDefault="00F421EC" w:rsidP="00941970">
            <w:pPr>
              <w:spacing w:before="0" w:after="0" w:line="240" w:lineRule="auto"/>
              <w:rPr>
                <w:sz w:val="12"/>
                <w:szCs w:val="18"/>
              </w:rPr>
            </w:pPr>
            <w:r w:rsidRPr="00941970">
              <w:rPr>
                <w:sz w:val="12"/>
                <w:szCs w:val="18"/>
              </w:rPr>
              <w:t>£201,333</w:t>
            </w:r>
          </w:p>
          <w:p w:rsidR="002C2D5C" w:rsidRPr="00941970" w:rsidRDefault="002C2D5C" w:rsidP="00941970">
            <w:pPr>
              <w:rPr>
                <w:sz w:val="12"/>
                <w:szCs w:val="18"/>
              </w:rPr>
            </w:pPr>
          </w:p>
        </w:tc>
        <w:tc>
          <w:tcPr>
            <w:tcW w:w="406" w:type="pct"/>
            <w:tcBorders>
              <w:top w:val="single" w:sz="4" w:space="0" w:color="auto"/>
              <w:left w:val="single" w:sz="4" w:space="0" w:color="auto"/>
              <w:bottom w:val="single" w:sz="4" w:space="0" w:color="auto"/>
              <w:right w:val="single" w:sz="4" w:space="0" w:color="auto"/>
            </w:tcBorders>
            <w:vAlign w:val="center"/>
          </w:tcPr>
          <w:p w:rsidR="00F421EC" w:rsidRPr="00941970" w:rsidRDefault="00F421EC" w:rsidP="00941970">
            <w:pPr>
              <w:spacing w:before="0" w:after="0" w:line="240" w:lineRule="auto"/>
              <w:rPr>
                <w:sz w:val="12"/>
                <w:szCs w:val="18"/>
              </w:rPr>
            </w:pPr>
            <w:r w:rsidRPr="00941970">
              <w:rPr>
                <w:sz w:val="12"/>
                <w:szCs w:val="18"/>
              </w:rPr>
              <w:t>£164,375</w:t>
            </w:r>
          </w:p>
          <w:p w:rsidR="002C2D5C" w:rsidRPr="00941970" w:rsidRDefault="002C2D5C" w:rsidP="00941970">
            <w:pPr>
              <w:rPr>
                <w:sz w:val="12"/>
                <w:szCs w:val="18"/>
              </w:rPr>
            </w:pPr>
          </w:p>
        </w:tc>
        <w:tc>
          <w:tcPr>
            <w:tcW w:w="407" w:type="pct"/>
            <w:tcBorders>
              <w:top w:val="single" w:sz="4" w:space="0" w:color="auto"/>
              <w:left w:val="single" w:sz="4" w:space="0" w:color="auto"/>
              <w:bottom w:val="single" w:sz="4" w:space="0" w:color="auto"/>
              <w:right w:val="single" w:sz="4" w:space="0" w:color="auto"/>
            </w:tcBorders>
            <w:vAlign w:val="center"/>
          </w:tcPr>
          <w:p w:rsidR="00F421EC" w:rsidRPr="00941970" w:rsidRDefault="00F421EC" w:rsidP="00941970">
            <w:pPr>
              <w:spacing w:before="0" w:after="0" w:line="240" w:lineRule="auto"/>
              <w:rPr>
                <w:sz w:val="12"/>
                <w:szCs w:val="18"/>
              </w:rPr>
            </w:pPr>
            <w:r w:rsidRPr="00941970">
              <w:rPr>
                <w:sz w:val="12"/>
                <w:szCs w:val="18"/>
              </w:rPr>
              <w:t>52.2%</w:t>
            </w:r>
          </w:p>
          <w:p w:rsidR="002C2D5C" w:rsidRPr="00941970" w:rsidRDefault="002C2D5C" w:rsidP="00941970">
            <w:pPr>
              <w:rPr>
                <w:b/>
                <w:sz w:val="12"/>
                <w:szCs w:val="18"/>
              </w:rPr>
            </w:pPr>
          </w:p>
        </w:tc>
      </w:tr>
      <w:tr w:rsidR="002D4F56" w:rsidRPr="00374C95" w:rsidTr="00941970">
        <w:trPr>
          <w:trHeight w:val="300"/>
        </w:trPr>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2D5C" w:rsidRPr="00941970" w:rsidRDefault="002C2D5C" w:rsidP="00C378B2">
            <w:pPr>
              <w:jc w:val="both"/>
              <w:rPr>
                <w:sz w:val="12"/>
                <w:szCs w:val="18"/>
              </w:rPr>
            </w:pPr>
            <w:r w:rsidRPr="00941970">
              <w:rPr>
                <w:sz w:val="12"/>
                <w:szCs w:val="18"/>
              </w:rPr>
              <w:t>Flats</w:t>
            </w:r>
          </w:p>
        </w:tc>
        <w:tc>
          <w:tcPr>
            <w:tcW w:w="406" w:type="pct"/>
            <w:tcBorders>
              <w:top w:val="single" w:sz="4" w:space="0" w:color="auto"/>
              <w:left w:val="nil"/>
              <w:bottom w:val="single" w:sz="4" w:space="0" w:color="auto"/>
              <w:right w:val="single" w:sz="4" w:space="0" w:color="auto"/>
            </w:tcBorders>
            <w:shd w:val="clear" w:color="auto" w:fill="auto"/>
            <w:noWrap/>
            <w:vAlign w:val="center"/>
          </w:tcPr>
          <w:p w:rsidR="00F421EC" w:rsidRPr="00941970" w:rsidRDefault="00F421EC" w:rsidP="00941970">
            <w:pPr>
              <w:spacing w:before="0" w:after="0" w:line="240" w:lineRule="auto"/>
              <w:rPr>
                <w:sz w:val="12"/>
                <w:szCs w:val="18"/>
              </w:rPr>
            </w:pPr>
            <w:r w:rsidRPr="00941970">
              <w:rPr>
                <w:sz w:val="12"/>
                <w:szCs w:val="18"/>
              </w:rPr>
              <w:t>£106,667</w:t>
            </w:r>
          </w:p>
          <w:p w:rsidR="002C2D5C" w:rsidRPr="00941970" w:rsidRDefault="002C2D5C" w:rsidP="00941970">
            <w:pPr>
              <w:rPr>
                <w:sz w:val="12"/>
                <w:szCs w:val="18"/>
              </w:rPr>
            </w:pPr>
          </w:p>
        </w:tc>
        <w:tc>
          <w:tcPr>
            <w:tcW w:w="406" w:type="pct"/>
            <w:tcBorders>
              <w:top w:val="single" w:sz="4" w:space="0" w:color="auto"/>
              <w:left w:val="nil"/>
              <w:bottom w:val="single" w:sz="4" w:space="0" w:color="auto"/>
              <w:right w:val="single" w:sz="4" w:space="0" w:color="auto"/>
            </w:tcBorders>
            <w:shd w:val="clear" w:color="auto" w:fill="auto"/>
            <w:noWrap/>
            <w:vAlign w:val="center"/>
          </w:tcPr>
          <w:p w:rsidR="002C2D5C" w:rsidRPr="00941970" w:rsidRDefault="002C2D5C" w:rsidP="00941970">
            <w:pPr>
              <w:rPr>
                <w:sz w:val="12"/>
                <w:szCs w:val="18"/>
              </w:rPr>
            </w:pPr>
          </w:p>
        </w:tc>
        <w:tc>
          <w:tcPr>
            <w:tcW w:w="407" w:type="pct"/>
            <w:tcBorders>
              <w:top w:val="single" w:sz="4" w:space="0" w:color="auto"/>
              <w:left w:val="nil"/>
              <w:bottom w:val="single" w:sz="4" w:space="0" w:color="auto"/>
              <w:right w:val="single" w:sz="4" w:space="0" w:color="auto"/>
            </w:tcBorders>
            <w:shd w:val="clear" w:color="auto" w:fill="auto"/>
            <w:noWrap/>
            <w:vAlign w:val="center"/>
          </w:tcPr>
          <w:p w:rsidR="002C2D5C" w:rsidRPr="00941970" w:rsidRDefault="002C2D5C" w:rsidP="00941970">
            <w:pPr>
              <w:rPr>
                <w:sz w:val="12"/>
                <w:szCs w:val="18"/>
              </w:rPr>
            </w:pPr>
          </w:p>
        </w:tc>
        <w:tc>
          <w:tcPr>
            <w:tcW w:w="406" w:type="pct"/>
            <w:tcBorders>
              <w:top w:val="single" w:sz="4" w:space="0" w:color="auto"/>
              <w:left w:val="nil"/>
              <w:bottom w:val="single" w:sz="4" w:space="0" w:color="auto"/>
              <w:right w:val="single" w:sz="4" w:space="0" w:color="auto"/>
            </w:tcBorders>
            <w:vAlign w:val="center"/>
          </w:tcPr>
          <w:p w:rsidR="002C2D5C" w:rsidRPr="00941970" w:rsidRDefault="002C2D5C" w:rsidP="00941970">
            <w:pPr>
              <w:rPr>
                <w:sz w:val="12"/>
                <w:szCs w:val="18"/>
              </w:rPr>
            </w:pPr>
          </w:p>
        </w:tc>
        <w:tc>
          <w:tcPr>
            <w:tcW w:w="406" w:type="pct"/>
            <w:tcBorders>
              <w:top w:val="single" w:sz="4" w:space="0" w:color="auto"/>
              <w:left w:val="nil"/>
              <w:bottom w:val="single" w:sz="4" w:space="0" w:color="auto"/>
              <w:right w:val="single" w:sz="4" w:space="0" w:color="auto"/>
            </w:tcBorders>
            <w:vAlign w:val="center"/>
          </w:tcPr>
          <w:p w:rsidR="002C2D5C" w:rsidRPr="00941970" w:rsidRDefault="002C2D5C" w:rsidP="00941970">
            <w:pPr>
              <w:rPr>
                <w:sz w:val="12"/>
                <w:szCs w:val="18"/>
              </w:rPr>
            </w:pPr>
          </w:p>
        </w:tc>
        <w:tc>
          <w:tcPr>
            <w:tcW w:w="407" w:type="pct"/>
            <w:tcBorders>
              <w:top w:val="single" w:sz="4" w:space="0" w:color="auto"/>
              <w:left w:val="nil"/>
              <w:bottom w:val="single" w:sz="4" w:space="0" w:color="auto"/>
              <w:right w:val="single" w:sz="4" w:space="0" w:color="auto"/>
            </w:tcBorders>
            <w:vAlign w:val="center"/>
          </w:tcPr>
          <w:p w:rsidR="002C2D5C" w:rsidRPr="00941970" w:rsidRDefault="002C2D5C" w:rsidP="00941970">
            <w:pPr>
              <w:rPr>
                <w:sz w:val="12"/>
                <w:szCs w:val="18"/>
              </w:rPr>
            </w:pPr>
          </w:p>
        </w:tc>
        <w:tc>
          <w:tcPr>
            <w:tcW w:w="406" w:type="pct"/>
            <w:tcBorders>
              <w:top w:val="single" w:sz="4" w:space="0" w:color="auto"/>
              <w:left w:val="nil"/>
              <w:bottom w:val="single" w:sz="4" w:space="0" w:color="auto"/>
              <w:right w:val="single" w:sz="4" w:space="0" w:color="auto"/>
            </w:tcBorders>
            <w:vAlign w:val="center"/>
          </w:tcPr>
          <w:p w:rsidR="002C2D5C" w:rsidRPr="00941970" w:rsidRDefault="002C2D5C" w:rsidP="00941970">
            <w:pPr>
              <w:rPr>
                <w:sz w:val="12"/>
                <w:szCs w:val="18"/>
              </w:rPr>
            </w:pPr>
          </w:p>
        </w:tc>
        <w:tc>
          <w:tcPr>
            <w:tcW w:w="406" w:type="pct"/>
            <w:tcBorders>
              <w:top w:val="single" w:sz="4" w:space="0" w:color="auto"/>
              <w:left w:val="nil"/>
              <w:bottom w:val="single" w:sz="4" w:space="0" w:color="auto"/>
              <w:right w:val="single" w:sz="4" w:space="0" w:color="auto"/>
            </w:tcBorders>
            <w:vAlign w:val="center"/>
          </w:tcPr>
          <w:p w:rsidR="002C2D5C" w:rsidRPr="00941970" w:rsidRDefault="002C2D5C" w:rsidP="00941970">
            <w:pPr>
              <w:rPr>
                <w:sz w:val="12"/>
                <w:szCs w:val="18"/>
              </w:rPr>
            </w:pPr>
          </w:p>
        </w:tc>
        <w:tc>
          <w:tcPr>
            <w:tcW w:w="407" w:type="pct"/>
            <w:tcBorders>
              <w:top w:val="single" w:sz="4" w:space="0" w:color="auto"/>
              <w:left w:val="nil"/>
              <w:bottom w:val="single" w:sz="4" w:space="0" w:color="auto"/>
              <w:right w:val="single" w:sz="4" w:space="0" w:color="auto"/>
            </w:tcBorders>
            <w:vAlign w:val="center"/>
          </w:tcPr>
          <w:p w:rsidR="002C2D5C" w:rsidRPr="00941970" w:rsidRDefault="002C2D5C" w:rsidP="00941970">
            <w:pPr>
              <w:rPr>
                <w:sz w:val="12"/>
                <w:szCs w:val="18"/>
              </w:rPr>
            </w:pPr>
          </w:p>
        </w:tc>
        <w:tc>
          <w:tcPr>
            <w:tcW w:w="406" w:type="pct"/>
            <w:tcBorders>
              <w:top w:val="single" w:sz="4" w:space="0" w:color="auto"/>
              <w:left w:val="nil"/>
              <w:bottom w:val="single" w:sz="4" w:space="0" w:color="auto"/>
              <w:right w:val="single" w:sz="4" w:space="0" w:color="auto"/>
            </w:tcBorders>
            <w:vAlign w:val="center"/>
          </w:tcPr>
          <w:p w:rsidR="002C2D5C" w:rsidRPr="00941970" w:rsidRDefault="002C2D5C" w:rsidP="00941970">
            <w:pPr>
              <w:rPr>
                <w:sz w:val="12"/>
                <w:szCs w:val="18"/>
              </w:rPr>
            </w:pPr>
          </w:p>
        </w:tc>
        <w:tc>
          <w:tcPr>
            <w:tcW w:w="407" w:type="pct"/>
            <w:tcBorders>
              <w:top w:val="single" w:sz="4" w:space="0" w:color="auto"/>
              <w:left w:val="nil"/>
              <w:bottom w:val="single" w:sz="4" w:space="0" w:color="auto"/>
              <w:right w:val="single" w:sz="4" w:space="0" w:color="auto"/>
            </w:tcBorders>
            <w:vAlign w:val="center"/>
          </w:tcPr>
          <w:p w:rsidR="002C2D5C" w:rsidRPr="00941970" w:rsidRDefault="002C2D5C" w:rsidP="00941970">
            <w:pPr>
              <w:rPr>
                <w:b/>
                <w:sz w:val="12"/>
                <w:szCs w:val="18"/>
              </w:rPr>
            </w:pPr>
          </w:p>
        </w:tc>
      </w:tr>
      <w:tr w:rsidR="002D4F56" w:rsidRPr="00374C95" w:rsidTr="00941970">
        <w:trPr>
          <w:trHeight w:val="300"/>
        </w:trPr>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2D5C" w:rsidRPr="00941970" w:rsidRDefault="002C2D5C" w:rsidP="00C378B2">
            <w:pPr>
              <w:jc w:val="both"/>
              <w:rPr>
                <w:b/>
                <w:sz w:val="12"/>
                <w:szCs w:val="18"/>
              </w:rPr>
            </w:pPr>
            <w:r w:rsidRPr="00941970">
              <w:rPr>
                <w:b/>
                <w:sz w:val="12"/>
                <w:szCs w:val="18"/>
              </w:rPr>
              <w:t>All Types</w:t>
            </w:r>
          </w:p>
        </w:tc>
        <w:tc>
          <w:tcPr>
            <w:tcW w:w="406" w:type="pct"/>
            <w:tcBorders>
              <w:top w:val="single" w:sz="4" w:space="0" w:color="auto"/>
              <w:left w:val="nil"/>
              <w:bottom w:val="single" w:sz="4" w:space="0" w:color="auto"/>
              <w:right w:val="single" w:sz="4" w:space="0" w:color="auto"/>
            </w:tcBorders>
            <w:shd w:val="clear" w:color="auto" w:fill="auto"/>
            <w:noWrap/>
            <w:vAlign w:val="center"/>
          </w:tcPr>
          <w:p w:rsidR="00F421EC" w:rsidRPr="00941970" w:rsidRDefault="00F421EC" w:rsidP="00941970">
            <w:pPr>
              <w:spacing w:before="0" w:after="0" w:line="240" w:lineRule="auto"/>
              <w:rPr>
                <w:sz w:val="12"/>
                <w:szCs w:val="18"/>
              </w:rPr>
            </w:pPr>
            <w:r w:rsidRPr="00941970">
              <w:rPr>
                <w:sz w:val="12"/>
                <w:szCs w:val="18"/>
              </w:rPr>
              <w:t>£144,773</w:t>
            </w:r>
          </w:p>
          <w:p w:rsidR="002C2D5C" w:rsidRPr="00941970" w:rsidRDefault="002C2D5C" w:rsidP="00941970">
            <w:pPr>
              <w:rPr>
                <w:b/>
                <w:sz w:val="12"/>
                <w:szCs w:val="18"/>
              </w:rPr>
            </w:pPr>
          </w:p>
        </w:tc>
        <w:tc>
          <w:tcPr>
            <w:tcW w:w="406" w:type="pct"/>
            <w:tcBorders>
              <w:top w:val="single" w:sz="4" w:space="0" w:color="auto"/>
              <w:left w:val="nil"/>
              <w:bottom w:val="single" w:sz="4" w:space="0" w:color="auto"/>
              <w:right w:val="single" w:sz="4" w:space="0" w:color="auto"/>
            </w:tcBorders>
            <w:shd w:val="clear" w:color="auto" w:fill="auto"/>
            <w:noWrap/>
            <w:vAlign w:val="center"/>
          </w:tcPr>
          <w:p w:rsidR="00F421EC" w:rsidRPr="00941970" w:rsidRDefault="00F421EC" w:rsidP="00941970">
            <w:pPr>
              <w:spacing w:before="0" w:after="0" w:line="240" w:lineRule="auto"/>
              <w:rPr>
                <w:sz w:val="12"/>
                <w:szCs w:val="18"/>
              </w:rPr>
            </w:pPr>
            <w:r w:rsidRPr="00941970">
              <w:rPr>
                <w:sz w:val="12"/>
                <w:szCs w:val="18"/>
              </w:rPr>
              <w:t>£201,219</w:t>
            </w:r>
          </w:p>
          <w:p w:rsidR="002C2D5C" w:rsidRPr="00941970" w:rsidRDefault="002C2D5C" w:rsidP="00941970">
            <w:pPr>
              <w:rPr>
                <w:b/>
                <w:sz w:val="12"/>
                <w:szCs w:val="18"/>
              </w:rPr>
            </w:pPr>
          </w:p>
        </w:tc>
        <w:tc>
          <w:tcPr>
            <w:tcW w:w="407" w:type="pct"/>
            <w:tcBorders>
              <w:top w:val="single" w:sz="4" w:space="0" w:color="auto"/>
              <w:left w:val="nil"/>
              <w:bottom w:val="single" w:sz="4" w:space="0" w:color="auto"/>
              <w:right w:val="single" w:sz="4" w:space="0" w:color="auto"/>
            </w:tcBorders>
            <w:shd w:val="clear" w:color="auto" w:fill="auto"/>
            <w:noWrap/>
            <w:vAlign w:val="center"/>
          </w:tcPr>
          <w:p w:rsidR="00F421EC" w:rsidRPr="00941970" w:rsidRDefault="00F421EC" w:rsidP="00941970">
            <w:pPr>
              <w:spacing w:before="0" w:after="0" w:line="240" w:lineRule="auto"/>
              <w:rPr>
                <w:sz w:val="12"/>
                <w:szCs w:val="18"/>
              </w:rPr>
            </w:pPr>
            <w:r w:rsidRPr="00941970">
              <w:rPr>
                <w:sz w:val="12"/>
                <w:szCs w:val="18"/>
              </w:rPr>
              <w:t>£260,094</w:t>
            </w:r>
          </w:p>
          <w:p w:rsidR="002C2D5C" w:rsidRPr="00941970" w:rsidRDefault="002C2D5C" w:rsidP="00941970">
            <w:pPr>
              <w:rPr>
                <w:b/>
                <w:sz w:val="12"/>
                <w:szCs w:val="18"/>
              </w:rPr>
            </w:pPr>
          </w:p>
        </w:tc>
        <w:tc>
          <w:tcPr>
            <w:tcW w:w="406" w:type="pct"/>
            <w:tcBorders>
              <w:top w:val="single" w:sz="4" w:space="0" w:color="auto"/>
              <w:left w:val="nil"/>
              <w:bottom w:val="single" w:sz="4" w:space="0" w:color="auto"/>
              <w:right w:val="single" w:sz="4" w:space="0" w:color="auto"/>
            </w:tcBorders>
            <w:vAlign w:val="center"/>
          </w:tcPr>
          <w:p w:rsidR="00F421EC" w:rsidRPr="00941970" w:rsidRDefault="00F421EC" w:rsidP="00941970">
            <w:pPr>
              <w:spacing w:before="0" w:after="0" w:line="240" w:lineRule="auto"/>
              <w:rPr>
                <w:sz w:val="12"/>
                <w:szCs w:val="18"/>
              </w:rPr>
            </w:pPr>
            <w:r w:rsidRPr="00941970">
              <w:rPr>
                <w:sz w:val="12"/>
                <w:szCs w:val="18"/>
              </w:rPr>
              <w:t>£212,978</w:t>
            </w:r>
          </w:p>
          <w:p w:rsidR="002C2D5C" w:rsidRPr="00941970" w:rsidRDefault="002C2D5C" w:rsidP="00941970">
            <w:pPr>
              <w:rPr>
                <w:b/>
                <w:sz w:val="12"/>
                <w:szCs w:val="18"/>
              </w:rPr>
            </w:pPr>
          </w:p>
        </w:tc>
        <w:tc>
          <w:tcPr>
            <w:tcW w:w="406" w:type="pct"/>
            <w:tcBorders>
              <w:top w:val="single" w:sz="4" w:space="0" w:color="auto"/>
              <w:left w:val="nil"/>
              <w:bottom w:val="single" w:sz="4" w:space="0" w:color="auto"/>
              <w:right w:val="single" w:sz="4" w:space="0" w:color="auto"/>
            </w:tcBorders>
            <w:vAlign w:val="center"/>
          </w:tcPr>
          <w:p w:rsidR="00F421EC" w:rsidRPr="00941970" w:rsidRDefault="00F421EC" w:rsidP="00941970">
            <w:pPr>
              <w:spacing w:before="0" w:after="0" w:line="240" w:lineRule="auto"/>
              <w:rPr>
                <w:sz w:val="12"/>
                <w:szCs w:val="18"/>
              </w:rPr>
            </w:pPr>
            <w:r w:rsidRPr="00941970">
              <w:rPr>
                <w:sz w:val="12"/>
                <w:szCs w:val="18"/>
              </w:rPr>
              <w:t>£185,409</w:t>
            </w:r>
          </w:p>
          <w:p w:rsidR="002C2D5C" w:rsidRPr="00941970" w:rsidRDefault="002C2D5C" w:rsidP="00941970">
            <w:pPr>
              <w:rPr>
                <w:b/>
                <w:sz w:val="12"/>
                <w:szCs w:val="18"/>
              </w:rPr>
            </w:pPr>
          </w:p>
        </w:tc>
        <w:tc>
          <w:tcPr>
            <w:tcW w:w="407" w:type="pct"/>
            <w:tcBorders>
              <w:top w:val="single" w:sz="4" w:space="0" w:color="auto"/>
              <w:left w:val="nil"/>
              <w:bottom w:val="single" w:sz="4" w:space="0" w:color="auto"/>
              <w:right w:val="single" w:sz="4" w:space="0" w:color="auto"/>
            </w:tcBorders>
            <w:vAlign w:val="center"/>
          </w:tcPr>
          <w:p w:rsidR="00F421EC" w:rsidRPr="00941970" w:rsidRDefault="00F421EC" w:rsidP="00941970">
            <w:pPr>
              <w:spacing w:before="0" w:after="0" w:line="240" w:lineRule="auto"/>
              <w:rPr>
                <w:sz w:val="12"/>
                <w:szCs w:val="18"/>
              </w:rPr>
            </w:pPr>
            <w:r w:rsidRPr="00941970">
              <w:rPr>
                <w:sz w:val="12"/>
                <w:szCs w:val="18"/>
              </w:rPr>
              <w:t>£199,643</w:t>
            </w:r>
          </w:p>
          <w:p w:rsidR="002C2D5C" w:rsidRPr="00941970" w:rsidRDefault="002C2D5C" w:rsidP="00941970">
            <w:pPr>
              <w:rPr>
                <w:b/>
                <w:sz w:val="12"/>
                <w:szCs w:val="18"/>
              </w:rPr>
            </w:pPr>
          </w:p>
        </w:tc>
        <w:tc>
          <w:tcPr>
            <w:tcW w:w="406" w:type="pct"/>
            <w:tcBorders>
              <w:top w:val="single" w:sz="4" w:space="0" w:color="auto"/>
              <w:left w:val="nil"/>
              <w:bottom w:val="single" w:sz="4" w:space="0" w:color="auto"/>
              <w:right w:val="single" w:sz="4" w:space="0" w:color="auto"/>
            </w:tcBorders>
            <w:vAlign w:val="center"/>
          </w:tcPr>
          <w:p w:rsidR="00F421EC" w:rsidRPr="00941970" w:rsidRDefault="00F421EC" w:rsidP="00941970">
            <w:pPr>
              <w:spacing w:before="0" w:after="0" w:line="240" w:lineRule="auto"/>
              <w:rPr>
                <w:sz w:val="12"/>
                <w:szCs w:val="18"/>
              </w:rPr>
            </w:pPr>
            <w:r w:rsidRPr="00941970">
              <w:rPr>
                <w:sz w:val="12"/>
                <w:szCs w:val="18"/>
              </w:rPr>
              <w:t>£227,558</w:t>
            </w:r>
          </w:p>
          <w:p w:rsidR="002C2D5C" w:rsidRPr="00941970" w:rsidRDefault="002C2D5C" w:rsidP="00941970">
            <w:pPr>
              <w:rPr>
                <w:b/>
                <w:sz w:val="12"/>
                <w:szCs w:val="18"/>
              </w:rPr>
            </w:pPr>
          </w:p>
        </w:tc>
        <w:tc>
          <w:tcPr>
            <w:tcW w:w="406" w:type="pct"/>
            <w:tcBorders>
              <w:top w:val="single" w:sz="4" w:space="0" w:color="auto"/>
              <w:left w:val="nil"/>
              <w:bottom w:val="single" w:sz="4" w:space="0" w:color="auto"/>
              <w:right w:val="single" w:sz="4" w:space="0" w:color="auto"/>
            </w:tcBorders>
            <w:vAlign w:val="center"/>
          </w:tcPr>
          <w:p w:rsidR="00F421EC" w:rsidRPr="00941970" w:rsidRDefault="00F421EC" w:rsidP="00941970">
            <w:pPr>
              <w:spacing w:before="0" w:after="0" w:line="240" w:lineRule="auto"/>
              <w:rPr>
                <w:sz w:val="12"/>
                <w:szCs w:val="18"/>
              </w:rPr>
            </w:pPr>
            <w:r w:rsidRPr="00941970">
              <w:rPr>
                <w:sz w:val="12"/>
                <w:szCs w:val="18"/>
              </w:rPr>
              <w:t>£254,269</w:t>
            </w:r>
          </w:p>
          <w:p w:rsidR="002C2D5C" w:rsidRPr="00941970" w:rsidRDefault="002C2D5C" w:rsidP="00941970">
            <w:pPr>
              <w:rPr>
                <w:b/>
                <w:sz w:val="12"/>
                <w:szCs w:val="18"/>
              </w:rPr>
            </w:pPr>
          </w:p>
        </w:tc>
        <w:tc>
          <w:tcPr>
            <w:tcW w:w="407" w:type="pct"/>
            <w:tcBorders>
              <w:top w:val="single" w:sz="4" w:space="0" w:color="auto"/>
              <w:left w:val="nil"/>
              <w:bottom w:val="single" w:sz="4" w:space="0" w:color="auto"/>
              <w:right w:val="single" w:sz="4" w:space="0" w:color="auto"/>
            </w:tcBorders>
            <w:vAlign w:val="center"/>
          </w:tcPr>
          <w:p w:rsidR="00F421EC" w:rsidRPr="00941970" w:rsidRDefault="00F421EC" w:rsidP="00941970">
            <w:pPr>
              <w:spacing w:before="0" w:after="0" w:line="240" w:lineRule="auto"/>
              <w:rPr>
                <w:sz w:val="12"/>
                <w:szCs w:val="18"/>
              </w:rPr>
            </w:pPr>
            <w:r w:rsidRPr="00941970">
              <w:rPr>
                <w:sz w:val="12"/>
                <w:szCs w:val="18"/>
              </w:rPr>
              <w:t>£270,240</w:t>
            </w:r>
          </w:p>
          <w:p w:rsidR="002C2D5C" w:rsidRPr="00941970" w:rsidRDefault="002C2D5C" w:rsidP="00941970">
            <w:pPr>
              <w:rPr>
                <w:b/>
                <w:sz w:val="12"/>
                <w:szCs w:val="18"/>
              </w:rPr>
            </w:pPr>
          </w:p>
        </w:tc>
        <w:tc>
          <w:tcPr>
            <w:tcW w:w="406" w:type="pct"/>
            <w:tcBorders>
              <w:top w:val="single" w:sz="4" w:space="0" w:color="auto"/>
              <w:left w:val="nil"/>
              <w:bottom w:val="single" w:sz="4" w:space="0" w:color="auto"/>
              <w:right w:val="single" w:sz="4" w:space="0" w:color="auto"/>
            </w:tcBorders>
            <w:vAlign w:val="center"/>
          </w:tcPr>
          <w:p w:rsidR="00F421EC" w:rsidRPr="00941970" w:rsidRDefault="00F421EC" w:rsidP="00941970">
            <w:pPr>
              <w:spacing w:before="0" w:after="0" w:line="240" w:lineRule="auto"/>
              <w:rPr>
                <w:sz w:val="12"/>
                <w:szCs w:val="18"/>
              </w:rPr>
            </w:pPr>
            <w:r w:rsidRPr="00941970">
              <w:rPr>
                <w:sz w:val="12"/>
                <w:szCs w:val="18"/>
              </w:rPr>
              <w:t>£240,763</w:t>
            </w:r>
          </w:p>
          <w:p w:rsidR="002C2D5C" w:rsidRPr="00941970" w:rsidRDefault="002C2D5C" w:rsidP="00941970">
            <w:pPr>
              <w:rPr>
                <w:b/>
                <w:sz w:val="12"/>
                <w:szCs w:val="18"/>
              </w:rPr>
            </w:pPr>
          </w:p>
        </w:tc>
        <w:tc>
          <w:tcPr>
            <w:tcW w:w="407" w:type="pct"/>
            <w:tcBorders>
              <w:top w:val="single" w:sz="4" w:space="0" w:color="auto"/>
              <w:left w:val="nil"/>
              <w:bottom w:val="single" w:sz="4" w:space="0" w:color="auto"/>
              <w:right w:val="single" w:sz="4" w:space="0" w:color="auto"/>
            </w:tcBorders>
            <w:vAlign w:val="center"/>
          </w:tcPr>
          <w:p w:rsidR="00F421EC" w:rsidRPr="00941970" w:rsidRDefault="00F421EC" w:rsidP="00941970">
            <w:pPr>
              <w:spacing w:before="0" w:after="0" w:line="240" w:lineRule="auto"/>
              <w:rPr>
                <w:sz w:val="12"/>
                <w:szCs w:val="18"/>
              </w:rPr>
            </w:pPr>
            <w:r w:rsidRPr="00941970">
              <w:rPr>
                <w:sz w:val="12"/>
                <w:szCs w:val="18"/>
              </w:rPr>
              <w:t>66.3%</w:t>
            </w:r>
          </w:p>
          <w:p w:rsidR="002C2D5C" w:rsidRPr="00941970" w:rsidRDefault="002C2D5C" w:rsidP="00941970">
            <w:pPr>
              <w:rPr>
                <w:b/>
                <w:sz w:val="12"/>
                <w:szCs w:val="18"/>
              </w:rPr>
            </w:pPr>
          </w:p>
        </w:tc>
      </w:tr>
    </w:tbl>
    <w:p w:rsidR="002C2D5C" w:rsidRPr="00374C95" w:rsidRDefault="002C2D5C" w:rsidP="002C2D5C">
      <w:pPr>
        <w:pStyle w:val="Source"/>
        <w:jc w:val="both"/>
        <w:rPr>
          <w:sz w:val="18"/>
          <w:szCs w:val="18"/>
          <w:lang w:val="en-GB"/>
        </w:rPr>
      </w:pPr>
      <w:r w:rsidRPr="00374C95">
        <w:rPr>
          <w:sz w:val="18"/>
          <w:szCs w:val="18"/>
          <w:lang w:val="en-GB"/>
        </w:rPr>
        <w:t>Source: Land Registry PPD</w:t>
      </w:r>
    </w:p>
    <w:p w:rsidR="00D272A0" w:rsidRPr="00AF2A60" w:rsidRDefault="00D272A0" w:rsidP="00D272A0">
      <w:pPr>
        <w:pStyle w:val="Heading3"/>
      </w:pPr>
      <w:bookmarkStart w:id="85" w:name="_Toc33015856"/>
      <w:r>
        <w:t>Income</w:t>
      </w:r>
      <w:bookmarkEnd w:id="85"/>
    </w:p>
    <w:p w:rsidR="00BB2201" w:rsidRDefault="00D272A0" w:rsidP="0004124F">
      <w:pPr>
        <w:pStyle w:val="ListNumber"/>
        <w:rPr>
          <w:sz w:val="18"/>
          <w:szCs w:val="18"/>
        </w:rPr>
      </w:pPr>
      <w:r>
        <w:rPr>
          <w:sz w:val="18"/>
          <w:szCs w:val="18"/>
        </w:rPr>
        <w:t>Household i</w:t>
      </w:r>
      <w:r w:rsidRPr="00D272A0">
        <w:rPr>
          <w:sz w:val="18"/>
          <w:szCs w:val="18"/>
        </w:rPr>
        <w:t xml:space="preserve">ncomes </w:t>
      </w:r>
      <w:r>
        <w:rPr>
          <w:sz w:val="18"/>
          <w:szCs w:val="18"/>
        </w:rPr>
        <w:t xml:space="preserve">determine </w:t>
      </w:r>
      <w:r w:rsidRPr="00D272A0">
        <w:rPr>
          <w:sz w:val="18"/>
          <w:szCs w:val="18"/>
        </w:rPr>
        <w:t>the ability of households to exercise choice in the housing market</w:t>
      </w:r>
      <w:r>
        <w:rPr>
          <w:sz w:val="18"/>
          <w:szCs w:val="18"/>
        </w:rPr>
        <w:t xml:space="preserve">, </w:t>
      </w:r>
      <w:r w:rsidRPr="00D272A0">
        <w:rPr>
          <w:sz w:val="18"/>
          <w:szCs w:val="18"/>
        </w:rPr>
        <w:t xml:space="preserve">and </w:t>
      </w:r>
      <w:r>
        <w:rPr>
          <w:sz w:val="18"/>
          <w:szCs w:val="18"/>
        </w:rPr>
        <w:t xml:space="preserve">consequently </w:t>
      </w:r>
      <w:r w:rsidR="00E10646">
        <w:rPr>
          <w:sz w:val="18"/>
          <w:szCs w:val="18"/>
        </w:rPr>
        <w:t>the level of need for affordable housing</w:t>
      </w:r>
      <w:r w:rsidRPr="00D272A0">
        <w:rPr>
          <w:sz w:val="18"/>
          <w:szCs w:val="18"/>
        </w:rPr>
        <w:t xml:space="preserve"> products. </w:t>
      </w:r>
      <w:r w:rsidR="004A24C8">
        <w:rPr>
          <w:sz w:val="18"/>
          <w:szCs w:val="18"/>
        </w:rPr>
        <w:t>T</w:t>
      </w:r>
      <w:r w:rsidR="00BB2201" w:rsidRPr="00BB2201">
        <w:rPr>
          <w:sz w:val="18"/>
          <w:szCs w:val="18"/>
        </w:rPr>
        <w:t xml:space="preserve">wo sources of data </w:t>
      </w:r>
      <w:r w:rsidR="004A24C8">
        <w:rPr>
          <w:sz w:val="18"/>
          <w:szCs w:val="18"/>
        </w:rPr>
        <w:t xml:space="preserve">are used to examine </w:t>
      </w:r>
      <w:r w:rsidR="00BB2201" w:rsidRPr="00BB2201">
        <w:rPr>
          <w:sz w:val="18"/>
          <w:szCs w:val="18"/>
        </w:rPr>
        <w:t>household incomes in the NA.</w:t>
      </w:r>
    </w:p>
    <w:p w:rsidR="00DF2BD9" w:rsidRPr="00DB4D40" w:rsidRDefault="00BB2201" w:rsidP="00DF2BD9">
      <w:pPr>
        <w:pStyle w:val="ListNumber"/>
        <w:rPr>
          <w:sz w:val="18"/>
          <w:szCs w:val="18"/>
        </w:rPr>
      </w:pPr>
      <w:r w:rsidRPr="005B67BC">
        <w:rPr>
          <w:sz w:val="18"/>
          <w:szCs w:val="18"/>
        </w:rPr>
        <w:t xml:space="preserve">The first </w:t>
      </w:r>
      <w:r w:rsidR="0040775E" w:rsidRPr="005B67BC">
        <w:rPr>
          <w:sz w:val="18"/>
          <w:szCs w:val="18"/>
        </w:rPr>
        <w:t>source</w:t>
      </w:r>
      <w:r w:rsidR="0040775E">
        <w:rPr>
          <w:sz w:val="18"/>
          <w:szCs w:val="18"/>
        </w:rPr>
        <w:t xml:space="preserve"> </w:t>
      </w:r>
      <w:r w:rsidRPr="00BB2201">
        <w:rPr>
          <w:sz w:val="18"/>
          <w:szCs w:val="18"/>
        </w:rPr>
        <w:t>is locally specific but limited to the average total household income and the median net annual household income</w:t>
      </w:r>
      <w:r w:rsidR="0040775E">
        <w:rPr>
          <w:sz w:val="18"/>
          <w:szCs w:val="18"/>
        </w:rPr>
        <w:t xml:space="preserve"> before housing costs (or take-home pay)</w:t>
      </w:r>
      <w:r w:rsidRPr="00BB2201">
        <w:rPr>
          <w:sz w:val="18"/>
          <w:szCs w:val="18"/>
        </w:rPr>
        <w:t xml:space="preserve">. </w:t>
      </w:r>
      <w:r w:rsidR="00DF2BD9">
        <w:rPr>
          <w:sz w:val="18"/>
          <w:szCs w:val="18"/>
        </w:rPr>
        <w:t xml:space="preserve">This is the average household income estimates </w:t>
      </w:r>
      <w:r w:rsidR="00DF2BD9" w:rsidRPr="00D272A0">
        <w:rPr>
          <w:sz w:val="18"/>
          <w:szCs w:val="18"/>
        </w:rPr>
        <w:t>published by ONS</w:t>
      </w:r>
      <w:r w:rsidR="00DF2BD9" w:rsidRPr="00DF2BD9">
        <w:rPr>
          <w:vertAlign w:val="superscript"/>
        </w:rPr>
        <w:footnoteReference w:id="19"/>
      </w:r>
      <w:r w:rsidR="00DF2BD9" w:rsidRPr="00D272A0">
        <w:rPr>
          <w:sz w:val="18"/>
          <w:szCs w:val="18"/>
        </w:rPr>
        <w:t xml:space="preserve"> at the </w:t>
      </w:r>
      <w:r w:rsidR="00DF2BD9">
        <w:rPr>
          <w:sz w:val="18"/>
          <w:szCs w:val="18"/>
        </w:rPr>
        <w:t xml:space="preserve">level of the </w:t>
      </w:r>
      <w:r w:rsidR="00DF2BD9" w:rsidRPr="00D272A0">
        <w:rPr>
          <w:sz w:val="18"/>
          <w:szCs w:val="18"/>
        </w:rPr>
        <w:t>Middle-layer Super Output Area (MSOA)</w:t>
      </w:r>
      <w:r w:rsidR="00DF2BD9" w:rsidRPr="00DF2BD9">
        <w:rPr>
          <w:rStyle w:val="FootnoteReference"/>
          <w:sz w:val="18"/>
          <w:szCs w:val="18"/>
        </w:rPr>
        <w:footnoteReference w:id="20"/>
      </w:r>
      <w:r w:rsidR="00DF2BD9" w:rsidRPr="00D272A0">
        <w:rPr>
          <w:sz w:val="18"/>
          <w:szCs w:val="18"/>
        </w:rPr>
        <w:t xml:space="preserve">. </w:t>
      </w:r>
      <w:r w:rsidR="00DF2BD9">
        <w:rPr>
          <w:sz w:val="18"/>
          <w:szCs w:val="18"/>
        </w:rPr>
        <w:t xml:space="preserve">In the case of </w:t>
      </w:r>
      <w:r w:rsidR="006A4403">
        <w:rPr>
          <w:sz w:val="18"/>
          <w:szCs w:val="18"/>
        </w:rPr>
        <w:t>Reedham</w:t>
      </w:r>
      <w:r w:rsidR="00DF2BD9">
        <w:rPr>
          <w:sz w:val="18"/>
          <w:szCs w:val="18"/>
        </w:rPr>
        <w:t xml:space="preserve"> the MSOA </w:t>
      </w:r>
      <w:r w:rsidR="00DF2BD9">
        <w:rPr>
          <w:sz w:val="18"/>
          <w:szCs w:val="18"/>
        </w:rPr>
        <w:lastRenderedPageBreak/>
        <w:t xml:space="preserve">most suitable for use as a proxy for the Neighbourhood Plan area boundary </w:t>
      </w:r>
      <w:r w:rsidR="00DF2BD9" w:rsidRPr="00BB2163">
        <w:rPr>
          <w:sz w:val="18"/>
          <w:szCs w:val="18"/>
        </w:rPr>
        <w:t>is</w:t>
      </w:r>
      <w:r w:rsidR="00DF2BD9">
        <w:rPr>
          <w:sz w:val="18"/>
          <w:szCs w:val="18"/>
        </w:rPr>
        <w:t xml:space="preserve"> </w:t>
      </w:r>
      <w:r w:rsidR="00BB2163">
        <w:rPr>
          <w:sz w:val="18"/>
          <w:szCs w:val="18"/>
        </w:rPr>
        <w:t>E02005537</w:t>
      </w:r>
      <w:r w:rsidR="00DF2BD9">
        <w:rPr>
          <w:sz w:val="18"/>
          <w:szCs w:val="18"/>
        </w:rPr>
        <w:t xml:space="preserve">. Further details on the extent of this MSOA, including a map, and why it was selected as a proxy for the Neighbourhood Plan area, are set out in </w:t>
      </w:r>
      <w:r w:rsidR="00DF2BD9" w:rsidRPr="00DB4D40">
        <w:rPr>
          <w:sz w:val="18"/>
          <w:szCs w:val="18"/>
        </w:rPr>
        <w:t>Appendix A.</w:t>
      </w:r>
    </w:p>
    <w:p w:rsidR="00DF2BD9" w:rsidRPr="00547B32" w:rsidRDefault="00DF2BD9" w:rsidP="00DF2BD9">
      <w:pPr>
        <w:numPr>
          <w:ilvl w:val="0"/>
          <w:numId w:val="15"/>
        </w:numPr>
        <w:spacing w:before="0" w:after="120"/>
        <w:rPr>
          <w:sz w:val="18"/>
          <w:szCs w:val="18"/>
          <w:lang w:val="en-US"/>
        </w:rPr>
      </w:pPr>
      <w:r w:rsidRPr="00DB4D40">
        <w:rPr>
          <w:sz w:val="18"/>
          <w:szCs w:val="18"/>
          <w:lang w:val="en-US"/>
        </w:rPr>
        <w:t>The average total annual income</w:t>
      </w:r>
      <w:r w:rsidR="00777F75" w:rsidRPr="00DB4D40">
        <w:rPr>
          <w:sz w:val="18"/>
          <w:szCs w:val="18"/>
          <w:lang w:val="en-US"/>
        </w:rPr>
        <w:t xml:space="preserve"> in MSOA E02005537</w:t>
      </w:r>
      <w:r w:rsidRPr="00DB4D40">
        <w:rPr>
          <w:sz w:val="18"/>
          <w:szCs w:val="18"/>
          <w:lang w:val="en-US"/>
        </w:rPr>
        <w:t xml:space="preserve"> was £</w:t>
      </w:r>
      <w:r w:rsidR="00E42DBE" w:rsidRPr="00DB4D40">
        <w:rPr>
          <w:sz w:val="18"/>
          <w:szCs w:val="18"/>
          <w:lang w:val="en-US"/>
        </w:rPr>
        <w:t>41,500</w:t>
      </w:r>
      <w:r w:rsidRPr="00DB4D40">
        <w:rPr>
          <w:sz w:val="18"/>
          <w:szCs w:val="18"/>
          <w:lang w:val="en-US"/>
        </w:rPr>
        <w:t>.</w:t>
      </w:r>
      <w:r w:rsidRPr="00DB4D40">
        <w:rPr>
          <w:sz w:val="18"/>
          <w:szCs w:val="18"/>
          <w:vertAlign w:val="superscript"/>
          <w:lang w:val="en-US"/>
        </w:rPr>
        <w:footnoteReference w:id="21"/>
      </w:r>
      <w:r w:rsidRPr="00DB4D40">
        <w:rPr>
          <w:sz w:val="18"/>
          <w:szCs w:val="18"/>
          <w:vertAlign w:val="superscript"/>
          <w:lang w:val="en-US"/>
        </w:rPr>
        <w:t xml:space="preserve"> </w:t>
      </w:r>
      <w:r w:rsidR="00AA7CB8" w:rsidRPr="00DB4D40">
        <w:rPr>
          <w:sz w:val="18"/>
          <w:szCs w:val="18"/>
          <w:vertAlign w:val="superscript"/>
          <w:lang w:val="en-US"/>
        </w:rPr>
        <w:t xml:space="preserve"> </w:t>
      </w:r>
    </w:p>
    <w:p w:rsidR="00BB2201" w:rsidRPr="00777F75" w:rsidRDefault="00DF2BD9" w:rsidP="00777F75">
      <w:pPr>
        <w:pStyle w:val="ListNumber"/>
        <w:jc w:val="both"/>
        <w:rPr>
          <w:sz w:val="18"/>
          <w:szCs w:val="18"/>
        </w:rPr>
      </w:pPr>
      <w:r w:rsidRPr="00DB4D40">
        <w:rPr>
          <w:sz w:val="18"/>
          <w:szCs w:val="18"/>
        </w:rPr>
        <w:t xml:space="preserve">The second source of data </w:t>
      </w:r>
      <w:r w:rsidR="00D054E1" w:rsidRPr="00DB4D40">
        <w:rPr>
          <w:sz w:val="18"/>
          <w:szCs w:val="18"/>
        </w:rPr>
        <w:t xml:space="preserve">is </w:t>
      </w:r>
      <w:r w:rsidR="00BB2201" w:rsidRPr="00DB4D40">
        <w:rPr>
          <w:sz w:val="18"/>
          <w:szCs w:val="18"/>
        </w:rPr>
        <w:t xml:space="preserve">Lower Quartile (LQ) average </w:t>
      </w:r>
      <w:r w:rsidR="00D054E1" w:rsidRPr="00DB4D40">
        <w:rPr>
          <w:sz w:val="18"/>
          <w:szCs w:val="18"/>
        </w:rPr>
        <w:t>earnings. This</w:t>
      </w:r>
      <w:r w:rsidR="00BB2201" w:rsidRPr="00DB4D40">
        <w:rPr>
          <w:sz w:val="18"/>
          <w:szCs w:val="18"/>
        </w:rPr>
        <w:t xml:space="preserve"> is helpful for understanding affordability challenges among</w:t>
      </w:r>
      <w:r w:rsidR="00BB2201" w:rsidRPr="00BB2201">
        <w:rPr>
          <w:sz w:val="18"/>
          <w:szCs w:val="18"/>
        </w:rPr>
        <w:t xml:space="preserve"> those with lower than average </w:t>
      </w:r>
      <w:r w:rsidR="00D054E1">
        <w:rPr>
          <w:sz w:val="18"/>
          <w:szCs w:val="18"/>
        </w:rPr>
        <w:t>earnings. However</w:t>
      </w:r>
      <w:r>
        <w:rPr>
          <w:sz w:val="18"/>
          <w:szCs w:val="18"/>
        </w:rPr>
        <w:t xml:space="preserve">, </w:t>
      </w:r>
      <w:r w:rsidR="00D054E1">
        <w:rPr>
          <w:sz w:val="18"/>
          <w:szCs w:val="18"/>
        </w:rPr>
        <w:t>this data relates to individual earnings and whilst this is an accurate representation of household incomes where households have one earner, it does not represent household income where there are two people earning. It is also</w:t>
      </w:r>
      <w:r>
        <w:rPr>
          <w:sz w:val="18"/>
          <w:szCs w:val="18"/>
        </w:rPr>
        <w:t xml:space="preserve"> only available at the District level.</w:t>
      </w:r>
      <w:r w:rsidR="00777F75">
        <w:rPr>
          <w:sz w:val="18"/>
          <w:szCs w:val="18"/>
        </w:rPr>
        <w:t xml:space="preserve"> </w:t>
      </w:r>
      <w:r w:rsidR="00BB2201" w:rsidRPr="00777F75">
        <w:rPr>
          <w:sz w:val="18"/>
          <w:szCs w:val="18"/>
        </w:rPr>
        <w:t xml:space="preserve">It is derived from </w:t>
      </w:r>
      <w:r w:rsidR="00777F75" w:rsidRPr="00777F75">
        <w:rPr>
          <w:sz w:val="18"/>
          <w:szCs w:val="18"/>
        </w:rPr>
        <w:t>Ratio of house price to residence-based earnings (lower quartile and median), 2002 to 2018</w:t>
      </w:r>
      <w:r w:rsidR="00BB2201" w:rsidRPr="00777F75">
        <w:rPr>
          <w:sz w:val="18"/>
          <w:szCs w:val="18"/>
        </w:rPr>
        <w:t xml:space="preserve">. </w:t>
      </w:r>
    </w:p>
    <w:p w:rsidR="00CA42D1" w:rsidRPr="00D04233" w:rsidRDefault="003874EA" w:rsidP="00D04233">
      <w:pPr>
        <w:numPr>
          <w:ilvl w:val="0"/>
          <w:numId w:val="15"/>
        </w:numPr>
        <w:spacing w:before="0" w:after="120"/>
        <w:jc w:val="both"/>
        <w:rPr>
          <w:sz w:val="18"/>
          <w:szCs w:val="18"/>
          <w:lang w:val="en-US"/>
        </w:rPr>
      </w:pPr>
      <w:r>
        <w:rPr>
          <w:sz w:val="18"/>
          <w:szCs w:val="18"/>
          <w:lang w:val="en-US"/>
        </w:rPr>
        <w:t>Broadland</w:t>
      </w:r>
      <w:r w:rsidR="00DF2BD9">
        <w:rPr>
          <w:sz w:val="18"/>
          <w:szCs w:val="18"/>
          <w:lang w:val="en-US"/>
        </w:rPr>
        <w:t xml:space="preserve">’s </w:t>
      </w:r>
      <w:r w:rsidR="00BB2201" w:rsidRPr="00BB2201">
        <w:rPr>
          <w:sz w:val="18"/>
          <w:szCs w:val="18"/>
          <w:lang w:val="en-US"/>
        </w:rPr>
        <w:t xml:space="preserve">gross LQ </w:t>
      </w:r>
      <w:r w:rsidR="00D054E1">
        <w:rPr>
          <w:sz w:val="18"/>
          <w:szCs w:val="18"/>
          <w:lang w:val="en-US"/>
        </w:rPr>
        <w:t>earnings</w:t>
      </w:r>
      <w:r w:rsidR="00D054E1" w:rsidRPr="00BB2201">
        <w:rPr>
          <w:sz w:val="18"/>
          <w:szCs w:val="18"/>
          <w:lang w:val="en-US"/>
        </w:rPr>
        <w:t xml:space="preserve"> </w:t>
      </w:r>
      <w:r w:rsidR="00BB2201" w:rsidRPr="00BB2201">
        <w:rPr>
          <w:sz w:val="18"/>
          <w:szCs w:val="18"/>
          <w:lang w:val="en-US"/>
        </w:rPr>
        <w:t>for 201</w:t>
      </w:r>
      <w:r w:rsidR="00777F75">
        <w:rPr>
          <w:sz w:val="18"/>
          <w:szCs w:val="18"/>
          <w:lang w:val="en-US"/>
        </w:rPr>
        <w:t>8</w:t>
      </w:r>
      <w:r w:rsidR="00BB2201" w:rsidRPr="00BB2201">
        <w:rPr>
          <w:sz w:val="18"/>
          <w:szCs w:val="18"/>
          <w:lang w:val="en-US"/>
        </w:rPr>
        <w:t xml:space="preserve"> was £</w:t>
      </w:r>
      <w:r w:rsidR="00777F75">
        <w:rPr>
          <w:sz w:val="18"/>
          <w:szCs w:val="18"/>
          <w:lang w:val="en-US"/>
        </w:rPr>
        <w:t>21</w:t>
      </w:r>
      <w:r w:rsidR="00CA42D1">
        <w:rPr>
          <w:sz w:val="18"/>
          <w:szCs w:val="18"/>
          <w:lang w:val="en-US"/>
        </w:rPr>
        <w:t>,</w:t>
      </w:r>
      <w:r w:rsidR="00777F75">
        <w:rPr>
          <w:sz w:val="18"/>
          <w:szCs w:val="18"/>
          <w:lang w:val="en-US"/>
        </w:rPr>
        <w:t>08</w:t>
      </w:r>
      <w:r w:rsidR="00CA42D1">
        <w:rPr>
          <w:sz w:val="18"/>
          <w:szCs w:val="18"/>
          <w:lang w:val="en-US"/>
        </w:rPr>
        <w:t>8</w:t>
      </w:r>
      <w:r w:rsidR="00BB2201" w:rsidRPr="00BB2201">
        <w:rPr>
          <w:sz w:val="18"/>
          <w:szCs w:val="18"/>
          <w:lang w:val="en-US"/>
        </w:rPr>
        <w:t xml:space="preserve"> per year. </w:t>
      </w:r>
    </w:p>
    <w:p w:rsidR="00BB2201" w:rsidRPr="00BB2201" w:rsidRDefault="00BB2201" w:rsidP="00BB2201">
      <w:pPr>
        <w:numPr>
          <w:ilvl w:val="0"/>
          <w:numId w:val="15"/>
        </w:numPr>
        <w:spacing w:before="0" w:after="120"/>
        <w:jc w:val="both"/>
        <w:rPr>
          <w:sz w:val="18"/>
          <w:szCs w:val="18"/>
          <w:lang w:val="en-US"/>
        </w:rPr>
      </w:pPr>
      <w:r w:rsidRPr="00BB2201">
        <w:rPr>
          <w:sz w:val="18"/>
          <w:szCs w:val="18"/>
          <w:lang w:val="en-US"/>
        </w:rPr>
        <w:t xml:space="preserve">This LQ figure is a helpful indication of what those in the lowest </w:t>
      </w:r>
      <w:r w:rsidR="00D054E1">
        <w:rPr>
          <w:sz w:val="18"/>
          <w:szCs w:val="18"/>
          <w:lang w:val="en-US"/>
        </w:rPr>
        <w:t>earnings</w:t>
      </w:r>
      <w:r w:rsidR="00D054E1" w:rsidRPr="00BB2201">
        <w:rPr>
          <w:sz w:val="18"/>
          <w:szCs w:val="18"/>
          <w:lang w:val="en-US"/>
        </w:rPr>
        <w:t xml:space="preserve"> </w:t>
      </w:r>
      <w:r w:rsidRPr="00BB2201">
        <w:rPr>
          <w:sz w:val="18"/>
          <w:szCs w:val="18"/>
          <w:lang w:val="en-US"/>
        </w:rPr>
        <w:t xml:space="preserve">brackets are able to </w:t>
      </w:r>
      <w:r w:rsidR="00DF2BD9">
        <w:rPr>
          <w:sz w:val="18"/>
          <w:szCs w:val="18"/>
          <w:lang w:val="en-US"/>
        </w:rPr>
        <w:t>put towards</w:t>
      </w:r>
      <w:r w:rsidRPr="00BB2201">
        <w:rPr>
          <w:sz w:val="18"/>
          <w:szCs w:val="18"/>
          <w:lang w:val="en-US"/>
        </w:rPr>
        <w:t xml:space="preserve"> their housing costs, although it is important to note </w:t>
      </w:r>
      <w:r w:rsidR="00D054E1">
        <w:rPr>
          <w:sz w:val="18"/>
          <w:szCs w:val="18"/>
          <w:lang w:val="en-US"/>
        </w:rPr>
        <w:t>three</w:t>
      </w:r>
      <w:r w:rsidR="00D054E1" w:rsidRPr="00BB2201">
        <w:rPr>
          <w:sz w:val="18"/>
          <w:szCs w:val="18"/>
          <w:lang w:val="en-US"/>
        </w:rPr>
        <w:t xml:space="preserve"> </w:t>
      </w:r>
      <w:r w:rsidRPr="00BB2201">
        <w:rPr>
          <w:sz w:val="18"/>
          <w:szCs w:val="18"/>
          <w:lang w:val="en-US"/>
        </w:rPr>
        <w:t xml:space="preserve">caveats. First, </w:t>
      </w:r>
      <w:r w:rsidR="00D054E1">
        <w:rPr>
          <w:sz w:val="18"/>
          <w:szCs w:val="18"/>
          <w:lang w:val="en-US"/>
        </w:rPr>
        <w:t xml:space="preserve">where a household has two people in work, the </w:t>
      </w:r>
      <w:r w:rsidR="00A445AF">
        <w:rPr>
          <w:sz w:val="18"/>
          <w:szCs w:val="18"/>
          <w:lang w:val="en-US"/>
        </w:rPr>
        <w:t xml:space="preserve">average LQ </w:t>
      </w:r>
      <w:r w:rsidR="00D054E1">
        <w:rPr>
          <w:sz w:val="18"/>
          <w:szCs w:val="18"/>
          <w:lang w:val="en-US"/>
        </w:rPr>
        <w:t xml:space="preserve">income </w:t>
      </w:r>
      <w:r w:rsidR="00A445AF">
        <w:rPr>
          <w:sz w:val="18"/>
          <w:szCs w:val="18"/>
          <w:lang w:val="en-US"/>
        </w:rPr>
        <w:t xml:space="preserve">from earnings </w:t>
      </w:r>
      <w:r w:rsidR="00D054E1">
        <w:rPr>
          <w:sz w:val="18"/>
          <w:szCs w:val="18"/>
          <w:lang w:val="en-US"/>
        </w:rPr>
        <w:t xml:space="preserve">will be double the level given by individual earnings. Second, </w:t>
      </w:r>
      <w:r w:rsidRPr="00BB2201">
        <w:rPr>
          <w:sz w:val="18"/>
          <w:szCs w:val="18"/>
          <w:lang w:val="en-US"/>
        </w:rPr>
        <w:t xml:space="preserve">this figure applies to the wider </w:t>
      </w:r>
      <w:r w:rsidR="00DF2BD9">
        <w:rPr>
          <w:sz w:val="18"/>
          <w:szCs w:val="18"/>
          <w:lang w:val="en-US"/>
        </w:rPr>
        <w:t>D</w:t>
      </w:r>
      <w:r w:rsidRPr="00BB2201">
        <w:rPr>
          <w:sz w:val="18"/>
          <w:szCs w:val="18"/>
          <w:lang w:val="en-US"/>
        </w:rPr>
        <w:t xml:space="preserve">istrict and may therefore differ from actual LQ </w:t>
      </w:r>
      <w:r w:rsidR="00D054E1">
        <w:rPr>
          <w:sz w:val="18"/>
          <w:szCs w:val="18"/>
          <w:lang w:val="en-US"/>
        </w:rPr>
        <w:t>earnings</w:t>
      </w:r>
      <w:r w:rsidR="00D054E1" w:rsidRPr="00BB2201">
        <w:rPr>
          <w:sz w:val="18"/>
          <w:szCs w:val="18"/>
          <w:lang w:val="en-US"/>
        </w:rPr>
        <w:t xml:space="preserve"> </w:t>
      </w:r>
      <w:r w:rsidRPr="00BB2201">
        <w:rPr>
          <w:sz w:val="18"/>
          <w:szCs w:val="18"/>
          <w:lang w:val="en-US"/>
        </w:rPr>
        <w:t xml:space="preserve">levels within the NA itself. </w:t>
      </w:r>
      <w:r w:rsidR="00D054E1">
        <w:rPr>
          <w:sz w:val="18"/>
          <w:szCs w:val="18"/>
          <w:lang w:val="en-US"/>
        </w:rPr>
        <w:t>Third</w:t>
      </w:r>
      <w:r w:rsidRPr="00BB2201">
        <w:rPr>
          <w:sz w:val="18"/>
          <w:szCs w:val="18"/>
          <w:lang w:val="en-US"/>
        </w:rPr>
        <w:t>,</w:t>
      </w:r>
      <w:r w:rsidR="00DF2BD9">
        <w:rPr>
          <w:sz w:val="18"/>
          <w:szCs w:val="18"/>
          <w:lang w:val="en-US"/>
        </w:rPr>
        <w:t xml:space="preserve"> it</w:t>
      </w:r>
      <w:r w:rsidRPr="00BB2201">
        <w:rPr>
          <w:sz w:val="18"/>
          <w:szCs w:val="18"/>
          <w:lang w:val="en-US"/>
        </w:rPr>
        <w:t xml:space="preserve"> is an indication of gross rather than net </w:t>
      </w:r>
      <w:r w:rsidR="00D054E1">
        <w:rPr>
          <w:sz w:val="18"/>
          <w:szCs w:val="18"/>
          <w:lang w:val="en-US"/>
        </w:rPr>
        <w:t>earnings</w:t>
      </w:r>
      <w:r w:rsidRPr="00BB2201">
        <w:rPr>
          <w:sz w:val="18"/>
          <w:szCs w:val="18"/>
          <w:lang w:val="en-US"/>
        </w:rPr>
        <w:t>, and so the actual amount received after taxes and expenses will diffe</w:t>
      </w:r>
      <w:r w:rsidR="00DF2BD9">
        <w:rPr>
          <w:sz w:val="18"/>
          <w:szCs w:val="18"/>
          <w:lang w:val="en-US"/>
        </w:rPr>
        <w:t>r</w:t>
      </w:r>
      <w:r w:rsidRPr="00BB2201">
        <w:rPr>
          <w:sz w:val="18"/>
          <w:szCs w:val="18"/>
          <w:lang w:val="en-US"/>
        </w:rPr>
        <w:t xml:space="preserve">. </w:t>
      </w:r>
    </w:p>
    <w:p w:rsidR="002C2D5C" w:rsidRDefault="002C2D5C" w:rsidP="00DF2BD9">
      <w:pPr>
        <w:pStyle w:val="Heading3"/>
      </w:pPr>
      <w:bookmarkStart w:id="86" w:name="_Toc2690276"/>
      <w:bookmarkStart w:id="87" w:name="_Toc33015857"/>
      <w:r>
        <w:t>Affordability Thresholds</w:t>
      </w:r>
      <w:bookmarkEnd w:id="86"/>
      <w:bookmarkEnd w:id="87"/>
    </w:p>
    <w:p w:rsidR="002C2D5C" w:rsidRPr="009627D4" w:rsidRDefault="002C2D5C" w:rsidP="002C2D5C">
      <w:pPr>
        <w:pStyle w:val="ListNumber"/>
        <w:spacing w:before="0"/>
        <w:jc w:val="both"/>
        <w:rPr>
          <w:sz w:val="18"/>
          <w:szCs w:val="18"/>
          <w:lang w:val="en-GB"/>
        </w:rPr>
      </w:pPr>
      <w:r w:rsidRPr="009627D4">
        <w:rPr>
          <w:sz w:val="18"/>
          <w:szCs w:val="18"/>
          <w:lang w:val="en-GB"/>
        </w:rPr>
        <w:t xml:space="preserve">In order to gain a </w:t>
      </w:r>
      <w:r w:rsidR="009627D4" w:rsidRPr="009627D4">
        <w:rPr>
          <w:sz w:val="18"/>
          <w:szCs w:val="18"/>
          <w:lang w:val="en-GB"/>
        </w:rPr>
        <w:t>clearer</w:t>
      </w:r>
      <w:r w:rsidRPr="009627D4">
        <w:rPr>
          <w:sz w:val="18"/>
          <w:szCs w:val="18"/>
          <w:lang w:val="en-GB"/>
        </w:rPr>
        <w:t xml:space="preserve"> understanding of </w:t>
      </w:r>
      <w:r w:rsidR="009627D4" w:rsidRPr="009627D4">
        <w:rPr>
          <w:sz w:val="18"/>
          <w:szCs w:val="18"/>
          <w:lang w:val="en-GB"/>
        </w:rPr>
        <w:t xml:space="preserve">local </w:t>
      </w:r>
      <w:r w:rsidRPr="009627D4">
        <w:rPr>
          <w:sz w:val="18"/>
          <w:szCs w:val="18"/>
          <w:lang w:val="en-GB"/>
        </w:rPr>
        <w:t xml:space="preserve">affordability, it is also useful to understand what levels of income are required to afford different tenures. This </w:t>
      </w:r>
      <w:r w:rsidR="009627D4">
        <w:rPr>
          <w:sz w:val="18"/>
          <w:szCs w:val="18"/>
          <w:lang w:val="en-GB"/>
        </w:rPr>
        <w:t xml:space="preserve">is </w:t>
      </w:r>
      <w:r w:rsidRPr="009627D4">
        <w:rPr>
          <w:sz w:val="18"/>
          <w:szCs w:val="18"/>
          <w:lang w:val="en-GB"/>
        </w:rPr>
        <w:t xml:space="preserve">done using ‘affordability thresholds’. </w:t>
      </w:r>
      <w:r w:rsidR="009627D4">
        <w:rPr>
          <w:sz w:val="18"/>
          <w:szCs w:val="18"/>
          <w:lang w:val="en-GB"/>
        </w:rPr>
        <w:t xml:space="preserve">Purchase </w:t>
      </w:r>
      <w:r w:rsidR="00FB7F8A">
        <w:rPr>
          <w:sz w:val="18"/>
          <w:szCs w:val="18"/>
          <w:lang w:val="en-GB"/>
        </w:rPr>
        <w:t>t</w:t>
      </w:r>
      <w:r w:rsidR="009627D4">
        <w:rPr>
          <w:sz w:val="18"/>
          <w:szCs w:val="18"/>
          <w:lang w:val="en-GB"/>
        </w:rPr>
        <w:t xml:space="preserve">hresholds </w:t>
      </w:r>
      <w:r w:rsidR="009627D4" w:rsidRPr="009627D4">
        <w:rPr>
          <w:sz w:val="18"/>
          <w:szCs w:val="18"/>
          <w:lang w:val="en-GB"/>
        </w:rPr>
        <w:t>denote the stand</w:t>
      </w:r>
      <w:r w:rsidR="009627D4">
        <w:rPr>
          <w:sz w:val="18"/>
          <w:szCs w:val="18"/>
          <w:lang w:val="en-GB"/>
        </w:rPr>
        <w:t>ard household income needed</w:t>
      </w:r>
      <w:r w:rsidR="009627D4" w:rsidRPr="009627D4">
        <w:rPr>
          <w:sz w:val="18"/>
          <w:szCs w:val="18"/>
          <w:lang w:val="en-GB"/>
        </w:rPr>
        <w:t xml:space="preserve"> to access mortgage products</w:t>
      </w:r>
      <w:r w:rsidR="009627D4">
        <w:rPr>
          <w:sz w:val="18"/>
          <w:szCs w:val="18"/>
          <w:lang w:val="en-GB"/>
        </w:rPr>
        <w:t xml:space="preserve">, and </w:t>
      </w:r>
      <w:r w:rsidR="00FB7F8A">
        <w:rPr>
          <w:sz w:val="18"/>
          <w:szCs w:val="18"/>
          <w:lang w:val="en-GB"/>
        </w:rPr>
        <w:t>i</w:t>
      </w:r>
      <w:r w:rsidR="009627D4">
        <w:rPr>
          <w:sz w:val="18"/>
          <w:szCs w:val="18"/>
          <w:lang w:val="en-GB"/>
        </w:rPr>
        <w:t xml:space="preserve">ncome </w:t>
      </w:r>
      <w:r w:rsidR="00FB7F8A">
        <w:rPr>
          <w:sz w:val="18"/>
          <w:szCs w:val="18"/>
          <w:lang w:val="en-GB"/>
        </w:rPr>
        <w:t>t</w:t>
      </w:r>
      <w:r w:rsidR="009627D4">
        <w:rPr>
          <w:sz w:val="18"/>
          <w:szCs w:val="18"/>
          <w:lang w:val="en-GB"/>
        </w:rPr>
        <w:t xml:space="preserve">hresholds </w:t>
      </w:r>
      <w:r w:rsidR="009627D4" w:rsidRPr="009627D4">
        <w:rPr>
          <w:sz w:val="18"/>
          <w:szCs w:val="18"/>
          <w:lang w:val="en-GB"/>
        </w:rPr>
        <w:t>denote the maximum share of a family’s income that should be spent on accommodation costs.</w:t>
      </w:r>
      <w:r w:rsidR="00CF27BE">
        <w:rPr>
          <w:sz w:val="18"/>
          <w:szCs w:val="18"/>
          <w:lang w:val="en-GB"/>
        </w:rPr>
        <w:t xml:space="preserve"> </w:t>
      </w:r>
    </w:p>
    <w:p w:rsidR="002C2D5C" w:rsidRDefault="00921551" w:rsidP="002C2D5C">
      <w:pPr>
        <w:pStyle w:val="ListNumber"/>
        <w:spacing w:before="0"/>
        <w:jc w:val="both"/>
        <w:rPr>
          <w:sz w:val="18"/>
          <w:szCs w:val="18"/>
          <w:lang w:val="en-GB"/>
        </w:rPr>
      </w:pPr>
      <w:r>
        <w:rPr>
          <w:sz w:val="18"/>
          <w:szCs w:val="18"/>
          <w:lang w:val="en-GB"/>
        </w:rPr>
        <w:t>AECOM has</w:t>
      </w:r>
      <w:r w:rsidR="009627D4">
        <w:rPr>
          <w:sz w:val="18"/>
          <w:szCs w:val="18"/>
          <w:lang w:val="en-GB"/>
        </w:rPr>
        <w:t xml:space="preserve"> determined</w:t>
      </w:r>
      <w:r w:rsidR="002C2D5C" w:rsidRPr="009627D4">
        <w:rPr>
          <w:sz w:val="18"/>
          <w:szCs w:val="18"/>
          <w:lang w:val="en-GB"/>
        </w:rPr>
        <w:t xml:space="preserve"> thresholds for </w:t>
      </w:r>
      <w:r w:rsidR="00FB7F8A">
        <w:rPr>
          <w:sz w:val="18"/>
          <w:szCs w:val="18"/>
          <w:lang w:val="en-GB"/>
        </w:rPr>
        <w:t xml:space="preserve">entry-level </w:t>
      </w:r>
      <w:r w:rsidR="002C2D5C" w:rsidRPr="009627D4">
        <w:rPr>
          <w:sz w:val="18"/>
          <w:szCs w:val="18"/>
          <w:lang w:val="en-GB"/>
        </w:rPr>
        <w:t>market purchase</w:t>
      </w:r>
      <w:r>
        <w:rPr>
          <w:sz w:val="18"/>
          <w:szCs w:val="18"/>
          <w:lang w:val="en-GB"/>
        </w:rPr>
        <w:t xml:space="preserve"> and</w:t>
      </w:r>
      <w:r w:rsidR="00FB7F8A">
        <w:rPr>
          <w:sz w:val="18"/>
          <w:szCs w:val="18"/>
          <w:lang w:val="en-GB"/>
        </w:rPr>
        <w:t xml:space="preserve"> private rent</w:t>
      </w:r>
      <w:r>
        <w:rPr>
          <w:sz w:val="18"/>
          <w:szCs w:val="18"/>
          <w:lang w:val="en-GB"/>
        </w:rPr>
        <w:t xml:space="preserve"> and the full range of Affordable Housing tenures as set out in NPPF</w:t>
      </w:r>
      <w:r w:rsidRPr="00921551">
        <w:rPr>
          <w:sz w:val="18"/>
          <w:szCs w:val="18"/>
          <w:lang w:val="en-GB"/>
        </w:rPr>
        <w:t xml:space="preserve"> </w:t>
      </w:r>
      <w:r w:rsidRPr="009627D4">
        <w:rPr>
          <w:sz w:val="18"/>
          <w:szCs w:val="18"/>
          <w:lang w:val="en-GB"/>
        </w:rPr>
        <w:t xml:space="preserve">across </w:t>
      </w:r>
      <w:r w:rsidR="009736CC">
        <w:rPr>
          <w:sz w:val="18"/>
          <w:szCs w:val="18"/>
          <w:lang w:val="en-GB"/>
        </w:rPr>
        <w:t>Reedham</w:t>
      </w:r>
      <w:r>
        <w:rPr>
          <w:sz w:val="18"/>
          <w:szCs w:val="18"/>
          <w:lang w:val="en-GB"/>
        </w:rPr>
        <w:t>. There are: social rent;</w:t>
      </w:r>
      <w:r w:rsidR="002C2D5C" w:rsidRPr="009627D4">
        <w:rPr>
          <w:sz w:val="18"/>
          <w:szCs w:val="18"/>
          <w:lang w:val="en-GB"/>
        </w:rPr>
        <w:t xml:space="preserve"> affordable rent set at 80%, </w:t>
      </w:r>
      <w:r w:rsidRPr="009627D4">
        <w:rPr>
          <w:sz w:val="18"/>
          <w:szCs w:val="18"/>
          <w:lang w:val="en-GB"/>
        </w:rPr>
        <w:t>shared ownership at 25%, 50%, and 75%;</w:t>
      </w:r>
      <w:r>
        <w:rPr>
          <w:sz w:val="18"/>
          <w:szCs w:val="18"/>
          <w:lang w:val="en-GB"/>
        </w:rPr>
        <w:t xml:space="preserve"> </w:t>
      </w:r>
      <w:r w:rsidR="007C52E8">
        <w:rPr>
          <w:sz w:val="18"/>
          <w:szCs w:val="18"/>
          <w:lang w:val="en-GB"/>
        </w:rPr>
        <w:t xml:space="preserve">and </w:t>
      </w:r>
      <w:r>
        <w:rPr>
          <w:sz w:val="18"/>
          <w:szCs w:val="18"/>
          <w:lang w:val="en-GB"/>
        </w:rPr>
        <w:t>discounted market sale</w:t>
      </w:r>
      <w:r w:rsidR="007C52E8">
        <w:rPr>
          <w:sz w:val="18"/>
          <w:szCs w:val="18"/>
          <w:lang w:val="en-GB"/>
        </w:rPr>
        <w:t xml:space="preserve"> (at a 20% discount)</w:t>
      </w:r>
      <w:r w:rsidR="002C2D5C" w:rsidRPr="009627D4">
        <w:rPr>
          <w:sz w:val="18"/>
          <w:szCs w:val="18"/>
          <w:lang w:val="en-GB"/>
        </w:rPr>
        <w:t xml:space="preserve">. These calculations are </w:t>
      </w:r>
      <w:r w:rsidR="002C2D5C" w:rsidRPr="00766401">
        <w:rPr>
          <w:sz w:val="18"/>
          <w:szCs w:val="18"/>
          <w:lang w:val="en-GB"/>
        </w:rPr>
        <w:t xml:space="preserve">detailed in </w:t>
      </w:r>
      <w:fldSimple w:instr=" REF _Ref4490843 \r \h  \* MERGEFORMAT ">
        <w:r w:rsidR="007C52E8">
          <w:rPr>
            <w:sz w:val="18"/>
            <w:szCs w:val="18"/>
            <w:lang w:val="en-GB"/>
          </w:rPr>
          <w:t>Appendix A</w:t>
        </w:r>
      </w:fldSimple>
      <w:r w:rsidR="002C2D5C" w:rsidRPr="00766401">
        <w:rPr>
          <w:sz w:val="18"/>
          <w:szCs w:val="18"/>
          <w:lang w:val="en-GB"/>
        </w:rPr>
        <w:t>. The key assumptions made in assessing the affordability of different tenures are explained alongside the calculations</w:t>
      </w:r>
      <w:r w:rsidR="00FB7F8A">
        <w:rPr>
          <w:sz w:val="18"/>
          <w:szCs w:val="18"/>
          <w:lang w:val="en-GB"/>
        </w:rPr>
        <w:t xml:space="preserve">, but </w:t>
      </w:r>
      <w:r>
        <w:rPr>
          <w:sz w:val="18"/>
          <w:szCs w:val="18"/>
          <w:lang w:val="en-GB"/>
        </w:rPr>
        <w:t xml:space="preserve">it </w:t>
      </w:r>
      <w:r w:rsidR="00FB7F8A">
        <w:rPr>
          <w:sz w:val="18"/>
          <w:szCs w:val="18"/>
          <w:lang w:val="en-GB"/>
        </w:rPr>
        <w:t>is worth noting here that we have assumed that the maximum percentage of household income that should be spent on rent is 25% and that mortgage financing will be offered at a maximum of 3.5 times household income</w:t>
      </w:r>
      <w:r w:rsidR="002C2D5C" w:rsidRPr="00766401">
        <w:rPr>
          <w:sz w:val="18"/>
          <w:szCs w:val="18"/>
          <w:lang w:val="en-GB"/>
        </w:rPr>
        <w:t xml:space="preserve">. </w:t>
      </w:r>
      <w:fldSimple w:instr=" REF _Ref534191054 \h  \* MERGEFORMAT ">
        <w:r w:rsidR="00E14AFB" w:rsidRPr="002D4F56">
          <w:rPr>
            <w:sz w:val="18"/>
            <w:szCs w:val="18"/>
          </w:rPr>
          <w:t xml:space="preserve">Table </w:t>
        </w:r>
        <w:r w:rsidR="00E14AFB">
          <w:rPr>
            <w:noProof/>
            <w:sz w:val="18"/>
            <w:szCs w:val="18"/>
          </w:rPr>
          <w:t>5</w:t>
        </w:r>
        <w:r w:rsidR="00E14AFB" w:rsidRPr="002D4F56">
          <w:rPr>
            <w:noProof/>
            <w:sz w:val="18"/>
            <w:szCs w:val="18"/>
          </w:rPr>
          <w:noBreakHyphen/>
        </w:r>
        <w:r w:rsidR="00E14AFB">
          <w:rPr>
            <w:noProof/>
            <w:sz w:val="18"/>
            <w:szCs w:val="18"/>
          </w:rPr>
          <w:t>4</w:t>
        </w:r>
      </w:fldSimple>
      <w:r w:rsidR="002C2D5C" w:rsidRPr="00766401">
        <w:rPr>
          <w:sz w:val="18"/>
          <w:szCs w:val="18"/>
          <w:lang w:val="en-GB"/>
        </w:rPr>
        <w:t xml:space="preserve"> shows the cost of different tenures and the </w:t>
      </w:r>
      <w:r w:rsidR="0040775E">
        <w:rPr>
          <w:sz w:val="18"/>
          <w:szCs w:val="18"/>
          <w:lang w:val="en-GB"/>
        </w:rPr>
        <w:t xml:space="preserve">annual </w:t>
      </w:r>
      <w:r w:rsidR="002C2D5C" w:rsidRPr="00766401">
        <w:rPr>
          <w:sz w:val="18"/>
          <w:szCs w:val="18"/>
          <w:lang w:val="en-GB"/>
        </w:rPr>
        <w:t>income required to support these costs withi</w:t>
      </w:r>
      <w:r w:rsidR="002C2D5C" w:rsidRPr="009627D4">
        <w:rPr>
          <w:sz w:val="18"/>
          <w:szCs w:val="18"/>
          <w:lang w:val="en-GB"/>
        </w:rPr>
        <w:t xml:space="preserve">n </w:t>
      </w:r>
      <w:r w:rsidR="009736CC">
        <w:rPr>
          <w:sz w:val="18"/>
          <w:szCs w:val="18"/>
          <w:lang w:val="en-GB"/>
        </w:rPr>
        <w:t>Reedham</w:t>
      </w:r>
      <w:r w:rsidR="002C2D5C" w:rsidRPr="009627D4">
        <w:rPr>
          <w:sz w:val="18"/>
          <w:szCs w:val="18"/>
          <w:lang w:val="en-GB"/>
        </w:rPr>
        <w:t xml:space="preserve">. </w:t>
      </w:r>
      <w:bookmarkStart w:id="88" w:name="_Hlk20150436"/>
      <w:r w:rsidR="00FB7F8A" w:rsidRPr="00FB7F8A">
        <w:rPr>
          <w:sz w:val="18"/>
          <w:szCs w:val="18"/>
          <w:lang w:val="en-GB"/>
        </w:rPr>
        <w:t>The income required column is the annual income needed to support ongoing housing costs, but does not reflect the cost of a deposit (which we have assumed to be 10% of the value to be purchased)</w:t>
      </w:r>
      <w:r w:rsidR="0040775E">
        <w:rPr>
          <w:sz w:val="18"/>
          <w:szCs w:val="18"/>
          <w:lang w:val="en-GB"/>
        </w:rPr>
        <w:t xml:space="preserve"> or the possibility that households able to access market housing for purchase may already hold equity from an existing property</w:t>
      </w:r>
      <w:r w:rsidR="00FB7F8A">
        <w:rPr>
          <w:sz w:val="18"/>
          <w:szCs w:val="18"/>
          <w:lang w:val="en-GB"/>
        </w:rPr>
        <w:t>.</w:t>
      </w:r>
      <w:bookmarkEnd w:id="88"/>
    </w:p>
    <w:p w:rsidR="00A96845" w:rsidRPr="00A96845" w:rsidRDefault="00A96845">
      <w:pPr>
        <w:pStyle w:val="ListNumber"/>
        <w:spacing w:before="0"/>
        <w:jc w:val="both"/>
        <w:rPr>
          <w:sz w:val="18"/>
          <w:szCs w:val="18"/>
          <w:lang w:val="en-GB"/>
        </w:rPr>
      </w:pPr>
      <w:r w:rsidRPr="00A96845">
        <w:rPr>
          <w:sz w:val="18"/>
          <w:szCs w:val="18"/>
          <w:lang w:val="en-GB"/>
        </w:rPr>
        <w:t>The Government has set out its intention to bring forward First Homes which provide a discount on open market sale. A proportion of new homes will be required to be provided as First Homes. However, it is not yet known exactly what this will look like in practice and, as such, First Homes are not included in the affordability thresholds comparison below.</w:t>
      </w:r>
    </w:p>
    <w:p w:rsidR="002C2D5C" w:rsidRPr="002D4F56" w:rsidRDefault="002C2D5C" w:rsidP="002C2D5C">
      <w:pPr>
        <w:pStyle w:val="Caption"/>
        <w:jc w:val="both"/>
        <w:rPr>
          <w:sz w:val="18"/>
          <w:szCs w:val="18"/>
        </w:rPr>
      </w:pPr>
      <w:bookmarkStart w:id="89" w:name="_Ref534191054"/>
      <w:r w:rsidRPr="002D4F56">
        <w:rPr>
          <w:sz w:val="18"/>
          <w:szCs w:val="18"/>
        </w:rPr>
        <w:t xml:space="preserve">Table </w:t>
      </w:r>
      <w:r w:rsidR="001A69AC" w:rsidRPr="002D4F56">
        <w:rPr>
          <w:noProof/>
          <w:sz w:val="18"/>
          <w:szCs w:val="18"/>
        </w:rPr>
        <w:fldChar w:fldCharType="begin"/>
      </w:r>
      <w:r w:rsidRPr="002D4F56">
        <w:rPr>
          <w:noProof/>
          <w:sz w:val="18"/>
          <w:szCs w:val="18"/>
        </w:rPr>
        <w:instrText xml:space="preserve"> STYLEREF 1 \s </w:instrText>
      </w:r>
      <w:r w:rsidR="001A69AC" w:rsidRPr="002D4F56">
        <w:rPr>
          <w:noProof/>
          <w:sz w:val="18"/>
          <w:szCs w:val="18"/>
        </w:rPr>
        <w:fldChar w:fldCharType="separate"/>
      </w:r>
      <w:r w:rsidR="00E14AFB">
        <w:rPr>
          <w:noProof/>
          <w:sz w:val="18"/>
          <w:szCs w:val="18"/>
        </w:rPr>
        <w:t>5</w:t>
      </w:r>
      <w:r w:rsidR="001A69AC" w:rsidRPr="002D4F56">
        <w:rPr>
          <w:noProof/>
          <w:sz w:val="18"/>
          <w:szCs w:val="18"/>
        </w:rPr>
        <w:fldChar w:fldCharType="end"/>
      </w:r>
      <w:r w:rsidRPr="002D4F56">
        <w:rPr>
          <w:sz w:val="18"/>
          <w:szCs w:val="18"/>
        </w:rPr>
        <w:noBreakHyphen/>
      </w:r>
      <w:r w:rsidR="001A69AC" w:rsidRPr="002D4F56">
        <w:rPr>
          <w:noProof/>
          <w:sz w:val="18"/>
          <w:szCs w:val="18"/>
        </w:rPr>
        <w:fldChar w:fldCharType="begin"/>
      </w:r>
      <w:r w:rsidRPr="002D4F56">
        <w:rPr>
          <w:noProof/>
          <w:sz w:val="18"/>
          <w:szCs w:val="18"/>
        </w:rPr>
        <w:instrText xml:space="preserve"> SEQ Table \* ARABIC \s 1 </w:instrText>
      </w:r>
      <w:r w:rsidR="001A69AC" w:rsidRPr="002D4F56">
        <w:rPr>
          <w:noProof/>
          <w:sz w:val="18"/>
          <w:szCs w:val="18"/>
        </w:rPr>
        <w:fldChar w:fldCharType="separate"/>
      </w:r>
      <w:r w:rsidR="00E14AFB">
        <w:rPr>
          <w:noProof/>
          <w:sz w:val="18"/>
          <w:szCs w:val="18"/>
        </w:rPr>
        <w:t>4</w:t>
      </w:r>
      <w:r w:rsidR="001A69AC" w:rsidRPr="002D4F56">
        <w:rPr>
          <w:noProof/>
          <w:sz w:val="18"/>
          <w:szCs w:val="18"/>
        </w:rPr>
        <w:fldChar w:fldCharType="end"/>
      </w:r>
      <w:bookmarkEnd w:id="89"/>
      <w:r w:rsidRPr="002D4F56">
        <w:rPr>
          <w:sz w:val="18"/>
          <w:szCs w:val="18"/>
        </w:rPr>
        <w:t>: Affordability thresholds</w:t>
      </w:r>
      <w:r w:rsidR="002D4F56">
        <w:rPr>
          <w:sz w:val="18"/>
          <w:szCs w:val="18"/>
        </w:rPr>
        <w:t xml:space="preserve"> in </w:t>
      </w:r>
      <w:r w:rsidR="002B4DAE">
        <w:rPr>
          <w:sz w:val="18"/>
          <w:szCs w:val="18"/>
        </w:rPr>
        <w:t>Reedham</w:t>
      </w:r>
      <w:r w:rsidRPr="002D4F56">
        <w:rPr>
          <w:sz w:val="18"/>
          <w:szCs w:val="18"/>
        </w:rPr>
        <w:t xml:space="preserve"> (income required, £)</w:t>
      </w:r>
    </w:p>
    <w:tbl>
      <w:tblPr>
        <w:tblW w:w="4794" w:type="pct"/>
        <w:tblInd w:w="416" w:type="dxa"/>
        <w:tblLook w:val="04A0"/>
      </w:tblPr>
      <w:tblGrid>
        <w:gridCol w:w="3459"/>
        <w:gridCol w:w="1854"/>
        <w:gridCol w:w="1854"/>
        <w:gridCol w:w="2469"/>
      </w:tblGrid>
      <w:tr w:rsidR="002C2D5C" w:rsidRPr="00374C95" w:rsidTr="00117893">
        <w:trPr>
          <w:trHeight w:val="288"/>
        </w:trPr>
        <w:tc>
          <w:tcPr>
            <w:tcW w:w="1795" w:type="pct"/>
            <w:tcBorders>
              <w:top w:val="single" w:sz="8" w:space="0" w:color="auto"/>
              <w:left w:val="single" w:sz="8" w:space="0" w:color="auto"/>
              <w:bottom w:val="single" w:sz="4" w:space="0" w:color="auto"/>
              <w:right w:val="single" w:sz="4" w:space="0" w:color="auto"/>
            </w:tcBorders>
            <w:shd w:val="clear" w:color="000000" w:fill="000000"/>
            <w:noWrap/>
            <w:vAlign w:val="center"/>
            <w:hideMark/>
          </w:tcPr>
          <w:p w:rsidR="002C2D5C" w:rsidRPr="00374C95" w:rsidRDefault="002C2D5C" w:rsidP="00C378B2">
            <w:pPr>
              <w:spacing w:line="240" w:lineRule="auto"/>
              <w:jc w:val="both"/>
              <w:rPr>
                <w:b/>
                <w:bCs/>
                <w:color w:val="FFFFFF"/>
                <w:sz w:val="18"/>
                <w:szCs w:val="18"/>
              </w:rPr>
            </w:pPr>
            <w:r w:rsidRPr="00374C95">
              <w:rPr>
                <w:b/>
                <w:bCs/>
                <w:color w:val="FFFFFF"/>
                <w:sz w:val="18"/>
                <w:szCs w:val="18"/>
              </w:rPr>
              <w:t>Tenure</w:t>
            </w:r>
          </w:p>
        </w:tc>
        <w:tc>
          <w:tcPr>
            <w:tcW w:w="962" w:type="pct"/>
            <w:tcBorders>
              <w:top w:val="single" w:sz="8" w:space="0" w:color="auto"/>
              <w:left w:val="nil"/>
              <w:bottom w:val="single" w:sz="4" w:space="0" w:color="auto"/>
              <w:right w:val="single" w:sz="4" w:space="0" w:color="auto"/>
            </w:tcBorders>
            <w:shd w:val="clear" w:color="000000" w:fill="000000"/>
            <w:noWrap/>
            <w:vAlign w:val="center"/>
            <w:hideMark/>
          </w:tcPr>
          <w:p w:rsidR="002C2D5C" w:rsidRPr="00374C95" w:rsidRDefault="002C2D5C" w:rsidP="00C378B2">
            <w:pPr>
              <w:spacing w:line="240" w:lineRule="auto"/>
              <w:jc w:val="both"/>
              <w:rPr>
                <w:b/>
                <w:bCs/>
                <w:color w:val="FFFFFF"/>
                <w:sz w:val="18"/>
                <w:szCs w:val="18"/>
              </w:rPr>
            </w:pPr>
            <w:r w:rsidRPr="00374C95">
              <w:rPr>
                <w:b/>
                <w:bCs/>
                <w:color w:val="FFFFFF"/>
                <w:sz w:val="18"/>
                <w:szCs w:val="18"/>
              </w:rPr>
              <w:t>Cost of purchase</w:t>
            </w:r>
          </w:p>
        </w:tc>
        <w:tc>
          <w:tcPr>
            <w:tcW w:w="962" w:type="pct"/>
            <w:tcBorders>
              <w:top w:val="single" w:sz="8" w:space="0" w:color="auto"/>
              <w:left w:val="nil"/>
              <w:bottom w:val="single" w:sz="4" w:space="0" w:color="auto"/>
              <w:right w:val="single" w:sz="4" w:space="0" w:color="auto"/>
            </w:tcBorders>
            <w:shd w:val="clear" w:color="000000" w:fill="000000"/>
            <w:noWrap/>
            <w:vAlign w:val="center"/>
            <w:hideMark/>
          </w:tcPr>
          <w:p w:rsidR="002C2D5C" w:rsidRPr="00374C95" w:rsidRDefault="002C2D5C" w:rsidP="00C378B2">
            <w:pPr>
              <w:spacing w:line="240" w:lineRule="auto"/>
              <w:jc w:val="both"/>
              <w:rPr>
                <w:b/>
                <w:bCs/>
                <w:color w:val="FFFFFF"/>
                <w:sz w:val="18"/>
                <w:szCs w:val="18"/>
              </w:rPr>
            </w:pPr>
            <w:r w:rsidRPr="00374C95">
              <w:rPr>
                <w:b/>
                <w:bCs/>
                <w:color w:val="FFFFFF"/>
                <w:sz w:val="18"/>
                <w:szCs w:val="18"/>
              </w:rPr>
              <w:t>Annual rent</w:t>
            </w:r>
          </w:p>
        </w:tc>
        <w:tc>
          <w:tcPr>
            <w:tcW w:w="1281" w:type="pct"/>
            <w:tcBorders>
              <w:top w:val="single" w:sz="8" w:space="0" w:color="auto"/>
              <w:left w:val="nil"/>
              <w:bottom w:val="single" w:sz="4" w:space="0" w:color="auto"/>
              <w:right w:val="single" w:sz="8" w:space="0" w:color="auto"/>
            </w:tcBorders>
            <w:shd w:val="clear" w:color="000000" w:fill="000000"/>
            <w:noWrap/>
            <w:vAlign w:val="center"/>
            <w:hideMark/>
          </w:tcPr>
          <w:p w:rsidR="002C2D5C" w:rsidRPr="00374C95" w:rsidRDefault="00817582" w:rsidP="00C378B2">
            <w:pPr>
              <w:spacing w:line="240" w:lineRule="auto"/>
              <w:jc w:val="both"/>
              <w:rPr>
                <w:b/>
                <w:bCs/>
                <w:color w:val="FFFFFF"/>
                <w:sz w:val="18"/>
                <w:szCs w:val="18"/>
              </w:rPr>
            </w:pPr>
            <w:r>
              <w:rPr>
                <w:b/>
                <w:bCs/>
                <w:color w:val="FFFFFF"/>
                <w:sz w:val="18"/>
                <w:szCs w:val="18"/>
              </w:rPr>
              <w:t xml:space="preserve">Annual </w:t>
            </w:r>
            <w:r w:rsidR="002C2D5C" w:rsidRPr="00374C95">
              <w:rPr>
                <w:b/>
                <w:bCs/>
                <w:color w:val="FFFFFF"/>
                <w:sz w:val="18"/>
                <w:szCs w:val="18"/>
              </w:rPr>
              <w:t>Income required</w:t>
            </w:r>
            <w:r>
              <w:rPr>
                <w:rStyle w:val="FootnoteReference"/>
                <w:b/>
                <w:bCs/>
                <w:sz w:val="18"/>
                <w:szCs w:val="18"/>
              </w:rPr>
              <w:footnoteReference w:id="22"/>
            </w:r>
          </w:p>
        </w:tc>
      </w:tr>
      <w:tr w:rsidR="002C2D5C" w:rsidRPr="00374C95" w:rsidTr="00117893">
        <w:trPr>
          <w:trHeight w:val="288"/>
        </w:trPr>
        <w:tc>
          <w:tcPr>
            <w:tcW w:w="1795" w:type="pct"/>
            <w:tcBorders>
              <w:top w:val="nil"/>
              <w:left w:val="single" w:sz="8" w:space="0" w:color="auto"/>
              <w:bottom w:val="single" w:sz="4" w:space="0" w:color="auto"/>
              <w:right w:val="single" w:sz="4" w:space="0" w:color="auto"/>
            </w:tcBorders>
            <w:shd w:val="clear" w:color="auto" w:fill="auto"/>
            <w:noWrap/>
            <w:vAlign w:val="center"/>
            <w:hideMark/>
          </w:tcPr>
          <w:p w:rsidR="002C2D5C" w:rsidRPr="00374C95" w:rsidRDefault="002C2D5C" w:rsidP="00C378B2">
            <w:pPr>
              <w:spacing w:line="240" w:lineRule="auto"/>
              <w:jc w:val="both"/>
              <w:rPr>
                <w:sz w:val="18"/>
                <w:szCs w:val="18"/>
              </w:rPr>
            </w:pPr>
            <w:r w:rsidRPr="00374C95">
              <w:rPr>
                <w:sz w:val="18"/>
                <w:szCs w:val="18"/>
              </w:rPr>
              <w:t xml:space="preserve">Entry-level market sale </w:t>
            </w:r>
          </w:p>
        </w:tc>
        <w:tc>
          <w:tcPr>
            <w:tcW w:w="962" w:type="pct"/>
            <w:tcBorders>
              <w:top w:val="nil"/>
              <w:left w:val="nil"/>
              <w:bottom w:val="single" w:sz="4" w:space="0" w:color="auto"/>
              <w:right w:val="single" w:sz="4" w:space="0" w:color="auto"/>
            </w:tcBorders>
            <w:shd w:val="clear" w:color="auto" w:fill="auto"/>
            <w:noWrap/>
          </w:tcPr>
          <w:p w:rsidR="002C2D5C" w:rsidRPr="00374C95" w:rsidRDefault="002B4DAE" w:rsidP="00C378B2">
            <w:pPr>
              <w:spacing w:line="240" w:lineRule="auto"/>
              <w:jc w:val="both"/>
              <w:rPr>
                <w:color w:val="000000" w:themeColor="text1"/>
                <w:sz w:val="18"/>
                <w:szCs w:val="18"/>
              </w:rPr>
            </w:pPr>
            <w:r>
              <w:rPr>
                <w:color w:val="000000" w:themeColor="text1"/>
                <w:sz w:val="18"/>
                <w:szCs w:val="18"/>
              </w:rPr>
              <w:t>£160,875</w:t>
            </w:r>
          </w:p>
        </w:tc>
        <w:tc>
          <w:tcPr>
            <w:tcW w:w="962" w:type="pct"/>
            <w:tcBorders>
              <w:top w:val="nil"/>
              <w:left w:val="nil"/>
              <w:bottom w:val="single" w:sz="4" w:space="0" w:color="auto"/>
              <w:right w:val="single" w:sz="4" w:space="0" w:color="auto"/>
            </w:tcBorders>
            <w:shd w:val="clear" w:color="auto" w:fill="auto"/>
            <w:noWrap/>
          </w:tcPr>
          <w:p w:rsidR="002C2D5C" w:rsidRPr="00374C95" w:rsidRDefault="002C2D5C" w:rsidP="00C378B2">
            <w:pPr>
              <w:spacing w:line="240" w:lineRule="auto"/>
              <w:jc w:val="both"/>
              <w:rPr>
                <w:color w:val="000000" w:themeColor="text1"/>
                <w:sz w:val="18"/>
                <w:szCs w:val="18"/>
              </w:rPr>
            </w:pPr>
            <w:r w:rsidRPr="00374C95">
              <w:rPr>
                <w:sz w:val="18"/>
                <w:szCs w:val="18"/>
              </w:rPr>
              <w:t>N/A</w:t>
            </w:r>
          </w:p>
        </w:tc>
        <w:tc>
          <w:tcPr>
            <w:tcW w:w="1281" w:type="pct"/>
            <w:tcBorders>
              <w:top w:val="nil"/>
              <w:left w:val="nil"/>
              <w:bottom w:val="single" w:sz="4" w:space="0" w:color="auto"/>
              <w:right w:val="single" w:sz="8" w:space="0" w:color="auto"/>
            </w:tcBorders>
            <w:shd w:val="clear" w:color="auto" w:fill="auto"/>
            <w:noWrap/>
          </w:tcPr>
          <w:p w:rsidR="002C2D5C" w:rsidRPr="00374C95" w:rsidRDefault="002B4DAE" w:rsidP="00C378B2">
            <w:pPr>
              <w:spacing w:line="240" w:lineRule="auto"/>
              <w:jc w:val="both"/>
              <w:rPr>
                <w:color w:val="000000" w:themeColor="text1"/>
                <w:sz w:val="18"/>
                <w:szCs w:val="18"/>
              </w:rPr>
            </w:pPr>
            <w:r>
              <w:rPr>
                <w:color w:val="000000" w:themeColor="text1"/>
                <w:sz w:val="18"/>
                <w:szCs w:val="18"/>
              </w:rPr>
              <w:t>£45,964</w:t>
            </w:r>
          </w:p>
        </w:tc>
      </w:tr>
      <w:tr w:rsidR="002C2D5C" w:rsidRPr="00374C95" w:rsidTr="00117893">
        <w:trPr>
          <w:trHeight w:val="288"/>
        </w:trPr>
        <w:tc>
          <w:tcPr>
            <w:tcW w:w="1795" w:type="pct"/>
            <w:tcBorders>
              <w:top w:val="nil"/>
              <w:left w:val="single" w:sz="8" w:space="0" w:color="auto"/>
              <w:bottom w:val="single" w:sz="4" w:space="0" w:color="auto"/>
              <w:right w:val="single" w:sz="4" w:space="0" w:color="auto"/>
            </w:tcBorders>
            <w:shd w:val="clear" w:color="auto" w:fill="auto"/>
            <w:noWrap/>
            <w:vAlign w:val="center"/>
            <w:hideMark/>
          </w:tcPr>
          <w:p w:rsidR="002C2D5C" w:rsidRPr="00374C95" w:rsidRDefault="002C2D5C" w:rsidP="00C378B2">
            <w:pPr>
              <w:spacing w:line="240" w:lineRule="auto"/>
              <w:jc w:val="both"/>
              <w:rPr>
                <w:sz w:val="18"/>
                <w:szCs w:val="18"/>
              </w:rPr>
            </w:pPr>
            <w:r w:rsidRPr="00374C95">
              <w:rPr>
                <w:sz w:val="18"/>
                <w:szCs w:val="18"/>
              </w:rPr>
              <w:t>Shared ownership (75%)</w:t>
            </w:r>
          </w:p>
        </w:tc>
        <w:tc>
          <w:tcPr>
            <w:tcW w:w="962" w:type="pct"/>
            <w:tcBorders>
              <w:top w:val="nil"/>
              <w:left w:val="nil"/>
              <w:bottom w:val="single" w:sz="4" w:space="0" w:color="auto"/>
              <w:right w:val="single" w:sz="4" w:space="0" w:color="auto"/>
            </w:tcBorders>
            <w:shd w:val="clear" w:color="auto" w:fill="auto"/>
            <w:noWrap/>
          </w:tcPr>
          <w:p w:rsidR="002C2D5C" w:rsidRPr="00374C95" w:rsidRDefault="002B4DAE" w:rsidP="00C378B2">
            <w:pPr>
              <w:spacing w:line="240" w:lineRule="auto"/>
              <w:jc w:val="both"/>
              <w:rPr>
                <w:color w:val="000000" w:themeColor="text1"/>
                <w:sz w:val="18"/>
                <w:szCs w:val="18"/>
              </w:rPr>
            </w:pPr>
            <w:r>
              <w:rPr>
                <w:color w:val="000000" w:themeColor="text1"/>
                <w:sz w:val="18"/>
                <w:szCs w:val="18"/>
              </w:rPr>
              <w:t>£129,656</w:t>
            </w:r>
          </w:p>
        </w:tc>
        <w:tc>
          <w:tcPr>
            <w:tcW w:w="962" w:type="pct"/>
            <w:tcBorders>
              <w:top w:val="nil"/>
              <w:left w:val="nil"/>
              <w:bottom w:val="single" w:sz="4" w:space="0" w:color="auto"/>
              <w:right w:val="single" w:sz="4" w:space="0" w:color="auto"/>
            </w:tcBorders>
            <w:shd w:val="clear" w:color="auto" w:fill="auto"/>
            <w:noWrap/>
          </w:tcPr>
          <w:p w:rsidR="002C2D5C" w:rsidRPr="00374C95" w:rsidRDefault="002B4DAE" w:rsidP="00C378B2">
            <w:pPr>
              <w:spacing w:line="240" w:lineRule="auto"/>
              <w:jc w:val="both"/>
              <w:rPr>
                <w:color w:val="000000" w:themeColor="text1"/>
                <w:sz w:val="18"/>
                <w:szCs w:val="18"/>
              </w:rPr>
            </w:pPr>
            <w:r>
              <w:rPr>
                <w:color w:val="000000" w:themeColor="text1"/>
                <w:sz w:val="18"/>
                <w:szCs w:val="18"/>
              </w:rPr>
              <w:t>£4,469</w:t>
            </w:r>
          </w:p>
        </w:tc>
        <w:tc>
          <w:tcPr>
            <w:tcW w:w="1281" w:type="pct"/>
            <w:tcBorders>
              <w:top w:val="nil"/>
              <w:left w:val="nil"/>
              <w:bottom w:val="single" w:sz="4" w:space="0" w:color="auto"/>
              <w:right w:val="single" w:sz="8" w:space="0" w:color="auto"/>
            </w:tcBorders>
            <w:shd w:val="clear" w:color="auto" w:fill="auto"/>
            <w:noWrap/>
          </w:tcPr>
          <w:p w:rsidR="002C2D5C" w:rsidRPr="00374C95" w:rsidRDefault="002B4DAE" w:rsidP="00C378B2">
            <w:pPr>
              <w:spacing w:line="240" w:lineRule="auto"/>
              <w:jc w:val="both"/>
              <w:rPr>
                <w:color w:val="000000" w:themeColor="text1"/>
                <w:sz w:val="18"/>
                <w:szCs w:val="18"/>
              </w:rPr>
            </w:pPr>
            <w:r>
              <w:rPr>
                <w:color w:val="000000" w:themeColor="text1"/>
                <w:sz w:val="18"/>
                <w:szCs w:val="18"/>
              </w:rPr>
              <w:t>£38,942</w:t>
            </w:r>
          </w:p>
        </w:tc>
      </w:tr>
      <w:tr w:rsidR="002C2D5C" w:rsidRPr="00374C95" w:rsidTr="00117893">
        <w:trPr>
          <w:trHeight w:val="288"/>
        </w:trPr>
        <w:tc>
          <w:tcPr>
            <w:tcW w:w="1795" w:type="pct"/>
            <w:tcBorders>
              <w:top w:val="nil"/>
              <w:left w:val="single" w:sz="8" w:space="0" w:color="auto"/>
              <w:bottom w:val="single" w:sz="4" w:space="0" w:color="auto"/>
              <w:right w:val="single" w:sz="4" w:space="0" w:color="auto"/>
            </w:tcBorders>
            <w:shd w:val="clear" w:color="auto" w:fill="auto"/>
            <w:noWrap/>
            <w:vAlign w:val="center"/>
            <w:hideMark/>
          </w:tcPr>
          <w:p w:rsidR="002C2D5C" w:rsidRPr="00374C95" w:rsidRDefault="00A96845" w:rsidP="00C378B2">
            <w:pPr>
              <w:spacing w:line="240" w:lineRule="auto"/>
              <w:jc w:val="both"/>
              <w:rPr>
                <w:sz w:val="18"/>
                <w:szCs w:val="18"/>
              </w:rPr>
            </w:pPr>
            <w:r>
              <w:rPr>
                <w:sz w:val="18"/>
                <w:szCs w:val="18"/>
              </w:rPr>
              <w:t>Discounted market sale (20%)</w:t>
            </w:r>
          </w:p>
        </w:tc>
        <w:tc>
          <w:tcPr>
            <w:tcW w:w="962" w:type="pct"/>
            <w:tcBorders>
              <w:top w:val="nil"/>
              <w:left w:val="nil"/>
              <w:bottom w:val="single" w:sz="4" w:space="0" w:color="auto"/>
              <w:right w:val="single" w:sz="4" w:space="0" w:color="auto"/>
            </w:tcBorders>
            <w:shd w:val="clear" w:color="auto" w:fill="auto"/>
            <w:noWrap/>
          </w:tcPr>
          <w:p w:rsidR="002C2D5C" w:rsidRPr="00374C95" w:rsidRDefault="002B4DAE" w:rsidP="00C378B2">
            <w:pPr>
              <w:spacing w:line="240" w:lineRule="auto"/>
              <w:jc w:val="both"/>
              <w:rPr>
                <w:color w:val="000000" w:themeColor="text1"/>
                <w:sz w:val="18"/>
                <w:szCs w:val="18"/>
              </w:rPr>
            </w:pPr>
            <w:r>
              <w:rPr>
                <w:color w:val="000000" w:themeColor="text1"/>
                <w:sz w:val="18"/>
                <w:szCs w:val="18"/>
              </w:rPr>
              <w:t>£128,700</w:t>
            </w:r>
          </w:p>
        </w:tc>
        <w:tc>
          <w:tcPr>
            <w:tcW w:w="962" w:type="pct"/>
            <w:tcBorders>
              <w:top w:val="nil"/>
              <w:left w:val="nil"/>
              <w:bottom w:val="single" w:sz="4" w:space="0" w:color="auto"/>
              <w:right w:val="single" w:sz="4" w:space="0" w:color="auto"/>
            </w:tcBorders>
            <w:shd w:val="clear" w:color="auto" w:fill="auto"/>
            <w:noWrap/>
          </w:tcPr>
          <w:p w:rsidR="002C2D5C" w:rsidRPr="00374C95" w:rsidRDefault="002C2D5C" w:rsidP="00C378B2">
            <w:pPr>
              <w:spacing w:line="240" w:lineRule="auto"/>
              <w:jc w:val="both"/>
              <w:rPr>
                <w:color w:val="000000" w:themeColor="text1"/>
                <w:sz w:val="18"/>
                <w:szCs w:val="18"/>
              </w:rPr>
            </w:pPr>
            <w:r w:rsidRPr="00374C95">
              <w:rPr>
                <w:sz w:val="18"/>
                <w:szCs w:val="18"/>
              </w:rPr>
              <w:t>N/A</w:t>
            </w:r>
          </w:p>
        </w:tc>
        <w:tc>
          <w:tcPr>
            <w:tcW w:w="1281" w:type="pct"/>
            <w:tcBorders>
              <w:top w:val="nil"/>
              <w:left w:val="nil"/>
              <w:bottom w:val="single" w:sz="4" w:space="0" w:color="auto"/>
              <w:right w:val="single" w:sz="8" w:space="0" w:color="auto"/>
            </w:tcBorders>
            <w:shd w:val="clear" w:color="auto" w:fill="auto"/>
            <w:noWrap/>
          </w:tcPr>
          <w:p w:rsidR="002C2D5C" w:rsidRPr="00374C95" w:rsidRDefault="002B4DAE" w:rsidP="00C378B2">
            <w:pPr>
              <w:spacing w:line="240" w:lineRule="auto"/>
              <w:jc w:val="both"/>
              <w:rPr>
                <w:color w:val="000000" w:themeColor="text1"/>
                <w:sz w:val="18"/>
                <w:szCs w:val="18"/>
              </w:rPr>
            </w:pPr>
            <w:r>
              <w:rPr>
                <w:color w:val="000000" w:themeColor="text1"/>
                <w:sz w:val="18"/>
                <w:szCs w:val="18"/>
              </w:rPr>
              <w:t>£36,771</w:t>
            </w:r>
          </w:p>
        </w:tc>
      </w:tr>
      <w:tr w:rsidR="002C2D5C" w:rsidRPr="00374C95" w:rsidTr="00117893">
        <w:trPr>
          <w:trHeight w:val="288"/>
        </w:trPr>
        <w:tc>
          <w:tcPr>
            <w:tcW w:w="1795" w:type="pct"/>
            <w:tcBorders>
              <w:top w:val="nil"/>
              <w:left w:val="single" w:sz="8" w:space="0" w:color="auto"/>
              <w:bottom w:val="single" w:sz="4" w:space="0" w:color="auto"/>
              <w:right w:val="single" w:sz="4" w:space="0" w:color="auto"/>
            </w:tcBorders>
            <w:shd w:val="clear" w:color="auto" w:fill="auto"/>
            <w:noWrap/>
            <w:vAlign w:val="center"/>
            <w:hideMark/>
          </w:tcPr>
          <w:p w:rsidR="002C2D5C" w:rsidRPr="00374C95" w:rsidRDefault="002C2D5C" w:rsidP="00C378B2">
            <w:pPr>
              <w:spacing w:line="240" w:lineRule="auto"/>
              <w:jc w:val="both"/>
              <w:rPr>
                <w:sz w:val="18"/>
                <w:szCs w:val="18"/>
              </w:rPr>
            </w:pPr>
            <w:r w:rsidRPr="00374C95">
              <w:rPr>
                <w:sz w:val="18"/>
                <w:szCs w:val="18"/>
              </w:rPr>
              <w:t xml:space="preserve">Entry-level market rent </w:t>
            </w:r>
          </w:p>
        </w:tc>
        <w:tc>
          <w:tcPr>
            <w:tcW w:w="962" w:type="pct"/>
            <w:tcBorders>
              <w:top w:val="nil"/>
              <w:left w:val="nil"/>
              <w:bottom w:val="single" w:sz="4" w:space="0" w:color="auto"/>
              <w:right w:val="single" w:sz="4" w:space="0" w:color="auto"/>
            </w:tcBorders>
            <w:shd w:val="clear" w:color="auto" w:fill="auto"/>
            <w:noWrap/>
          </w:tcPr>
          <w:p w:rsidR="002C2D5C" w:rsidRPr="00374C95" w:rsidRDefault="002B4DAE" w:rsidP="00C378B2">
            <w:pPr>
              <w:spacing w:line="240" w:lineRule="auto"/>
              <w:jc w:val="both"/>
              <w:rPr>
                <w:color w:val="000000" w:themeColor="text1"/>
                <w:sz w:val="18"/>
                <w:szCs w:val="18"/>
              </w:rPr>
            </w:pPr>
            <w:r>
              <w:rPr>
                <w:color w:val="000000" w:themeColor="text1"/>
                <w:sz w:val="18"/>
                <w:szCs w:val="18"/>
              </w:rPr>
              <w:t>N/A</w:t>
            </w:r>
          </w:p>
        </w:tc>
        <w:tc>
          <w:tcPr>
            <w:tcW w:w="962" w:type="pct"/>
            <w:tcBorders>
              <w:top w:val="nil"/>
              <w:left w:val="nil"/>
              <w:bottom w:val="single" w:sz="4" w:space="0" w:color="auto"/>
              <w:right w:val="single" w:sz="4" w:space="0" w:color="auto"/>
            </w:tcBorders>
            <w:shd w:val="clear" w:color="auto" w:fill="auto"/>
            <w:noWrap/>
          </w:tcPr>
          <w:p w:rsidR="002C2D5C" w:rsidRPr="00374C95" w:rsidRDefault="002B4DAE" w:rsidP="00C378B2">
            <w:pPr>
              <w:spacing w:line="240" w:lineRule="auto"/>
              <w:jc w:val="both"/>
              <w:rPr>
                <w:color w:val="000000" w:themeColor="text1"/>
                <w:sz w:val="18"/>
                <w:szCs w:val="18"/>
              </w:rPr>
            </w:pPr>
            <w:r>
              <w:rPr>
                <w:color w:val="000000" w:themeColor="text1"/>
                <w:sz w:val="18"/>
                <w:szCs w:val="18"/>
              </w:rPr>
              <w:t>£8,220</w:t>
            </w:r>
          </w:p>
        </w:tc>
        <w:tc>
          <w:tcPr>
            <w:tcW w:w="1281" w:type="pct"/>
            <w:tcBorders>
              <w:top w:val="nil"/>
              <w:left w:val="nil"/>
              <w:bottom w:val="single" w:sz="4" w:space="0" w:color="auto"/>
              <w:right w:val="single" w:sz="8" w:space="0" w:color="auto"/>
            </w:tcBorders>
            <w:shd w:val="clear" w:color="auto" w:fill="auto"/>
            <w:noWrap/>
          </w:tcPr>
          <w:p w:rsidR="002C2D5C" w:rsidRPr="00374C95" w:rsidRDefault="002B4DAE" w:rsidP="00C378B2">
            <w:pPr>
              <w:spacing w:line="240" w:lineRule="auto"/>
              <w:jc w:val="both"/>
              <w:rPr>
                <w:color w:val="000000" w:themeColor="text1"/>
                <w:sz w:val="18"/>
                <w:szCs w:val="18"/>
              </w:rPr>
            </w:pPr>
            <w:r>
              <w:rPr>
                <w:color w:val="000000" w:themeColor="text1"/>
                <w:sz w:val="18"/>
                <w:szCs w:val="18"/>
              </w:rPr>
              <w:t>£32,880</w:t>
            </w:r>
          </w:p>
        </w:tc>
      </w:tr>
      <w:tr w:rsidR="002C2D5C" w:rsidRPr="00374C95" w:rsidTr="00117893">
        <w:trPr>
          <w:trHeight w:val="288"/>
        </w:trPr>
        <w:tc>
          <w:tcPr>
            <w:tcW w:w="1795" w:type="pct"/>
            <w:tcBorders>
              <w:top w:val="nil"/>
              <w:left w:val="single" w:sz="8" w:space="0" w:color="auto"/>
              <w:bottom w:val="single" w:sz="4" w:space="0" w:color="auto"/>
              <w:right w:val="single" w:sz="4" w:space="0" w:color="auto"/>
            </w:tcBorders>
            <w:shd w:val="clear" w:color="auto" w:fill="auto"/>
            <w:noWrap/>
            <w:vAlign w:val="center"/>
            <w:hideMark/>
          </w:tcPr>
          <w:p w:rsidR="002C2D5C" w:rsidRPr="00374C95" w:rsidRDefault="002C2D5C" w:rsidP="00C378B2">
            <w:pPr>
              <w:spacing w:line="240" w:lineRule="auto"/>
              <w:jc w:val="both"/>
              <w:rPr>
                <w:sz w:val="18"/>
                <w:szCs w:val="18"/>
              </w:rPr>
            </w:pPr>
            <w:r w:rsidRPr="00374C95">
              <w:rPr>
                <w:sz w:val="18"/>
                <w:szCs w:val="18"/>
              </w:rPr>
              <w:t>Shared ownership (50%)</w:t>
            </w:r>
          </w:p>
        </w:tc>
        <w:tc>
          <w:tcPr>
            <w:tcW w:w="962" w:type="pct"/>
            <w:tcBorders>
              <w:top w:val="nil"/>
              <w:left w:val="nil"/>
              <w:bottom w:val="single" w:sz="4" w:space="0" w:color="auto"/>
              <w:right w:val="single" w:sz="4" w:space="0" w:color="auto"/>
            </w:tcBorders>
            <w:shd w:val="clear" w:color="auto" w:fill="auto"/>
            <w:noWrap/>
          </w:tcPr>
          <w:p w:rsidR="002C2D5C" w:rsidRPr="00374C95" w:rsidRDefault="002C2D5C" w:rsidP="00C378B2">
            <w:pPr>
              <w:spacing w:line="240" w:lineRule="auto"/>
              <w:jc w:val="both"/>
              <w:rPr>
                <w:color w:val="000000" w:themeColor="text1"/>
                <w:sz w:val="18"/>
                <w:szCs w:val="18"/>
              </w:rPr>
            </w:pPr>
            <w:r w:rsidRPr="00374C95">
              <w:rPr>
                <w:sz w:val="18"/>
                <w:szCs w:val="18"/>
              </w:rPr>
              <w:t>N/A</w:t>
            </w:r>
          </w:p>
        </w:tc>
        <w:tc>
          <w:tcPr>
            <w:tcW w:w="962" w:type="pct"/>
            <w:tcBorders>
              <w:top w:val="nil"/>
              <w:left w:val="nil"/>
              <w:bottom w:val="single" w:sz="4" w:space="0" w:color="auto"/>
              <w:right w:val="single" w:sz="4" w:space="0" w:color="auto"/>
            </w:tcBorders>
            <w:shd w:val="clear" w:color="auto" w:fill="auto"/>
            <w:noWrap/>
          </w:tcPr>
          <w:p w:rsidR="002C2D5C" w:rsidRPr="00374C95" w:rsidRDefault="002B4DAE" w:rsidP="00C378B2">
            <w:pPr>
              <w:spacing w:line="240" w:lineRule="auto"/>
              <w:jc w:val="both"/>
              <w:rPr>
                <w:color w:val="000000" w:themeColor="text1"/>
                <w:sz w:val="18"/>
                <w:szCs w:val="18"/>
              </w:rPr>
            </w:pPr>
            <w:r>
              <w:rPr>
                <w:color w:val="000000" w:themeColor="text1"/>
                <w:sz w:val="18"/>
                <w:szCs w:val="18"/>
              </w:rPr>
              <w:t>£8,938</w:t>
            </w:r>
          </w:p>
        </w:tc>
        <w:tc>
          <w:tcPr>
            <w:tcW w:w="1281" w:type="pct"/>
            <w:tcBorders>
              <w:top w:val="nil"/>
              <w:left w:val="nil"/>
              <w:bottom w:val="single" w:sz="4" w:space="0" w:color="auto"/>
              <w:right w:val="single" w:sz="8" w:space="0" w:color="auto"/>
            </w:tcBorders>
            <w:shd w:val="clear" w:color="auto" w:fill="auto"/>
            <w:noWrap/>
          </w:tcPr>
          <w:p w:rsidR="002C2D5C" w:rsidRPr="00374C95" w:rsidRDefault="002B4DAE" w:rsidP="00C378B2">
            <w:pPr>
              <w:spacing w:line="240" w:lineRule="auto"/>
              <w:jc w:val="both"/>
              <w:rPr>
                <w:color w:val="000000" w:themeColor="text1"/>
                <w:sz w:val="18"/>
                <w:szCs w:val="18"/>
              </w:rPr>
            </w:pPr>
            <w:r>
              <w:rPr>
                <w:color w:val="000000" w:themeColor="text1"/>
                <w:sz w:val="18"/>
                <w:szCs w:val="18"/>
              </w:rPr>
              <w:t>£31,920</w:t>
            </w:r>
          </w:p>
        </w:tc>
      </w:tr>
      <w:tr w:rsidR="007C52E8" w:rsidRPr="00374C95" w:rsidTr="00117893">
        <w:trPr>
          <w:trHeight w:val="288"/>
        </w:trPr>
        <w:tc>
          <w:tcPr>
            <w:tcW w:w="1795" w:type="pct"/>
            <w:tcBorders>
              <w:top w:val="nil"/>
              <w:left w:val="single" w:sz="8" w:space="0" w:color="auto"/>
              <w:bottom w:val="single" w:sz="4" w:space="0" w:color="auto"/>
              <w:right w:val="single" w:sz="4" w:space="0" w:color="auto"/>
            </w:tcBorders>
            <w:shd w:val="clear" w:color="auto" w:fill="auto"/>
            <w:noWrap/>
            <w:vAlign w:val="center"/>
          </w:tcPr>
          <w:p w:rsidR="007C52E8" w:rsidRPr="00374C95" w:rsidRDefault="007C52E8" w:rsidP="007C52E8">
            <w:pPr>
              <w:spacing w:line="240" w:lineRule="auto"/>
              <w:jc w:val="both"/>
              <w:rPr>
                <w:sz w:val="18"/>
                <w:szCs w:val="18"/>
              </w:rPr>
            </w:pPr>
            <w:r w:rsidRPr="00374C95">
              <w:rPr>
                <w:sz w:val="18"/>
                <w:szCs w:val="18"/>
              </w:rPr>
              <w:t>Affordable rent</w:t>
            </w:r>
          </w:p>
        </w:tc>
        <w:tc>
          <w:tcPr>
            <w:tcW w:w="962" w:type="pct"/>
            <w:tcBorders>
              <w:top w:val="nil"/>
              <w:left w:val="nil"/>
              <w:bottom w:val="single" w:sz="4" w:space="0" w:color="auto"/>
              <w:right w:val="single" w:sz="4" w:space="0" w:color="auto"/>
            </w:tcBorders>
            <w:shd w:val="clear" w:color="auto" w:fill="auto"/>
            <w:noWrap/>
          </w:tcPr>
          <w:p w:rsidR="007C52E8" w:rsidRPr="00374C95" w:rsidRDefault="007C52E8" w:rsidP="007C52E8">
            <w:pPr>
              <w:spacing w:line="240" w:lineRule="auto"/>
              <w:jc w:val="both"/>
              <w:rPr>
                <w:color w:val="000000" w:themeColor="text1"/>
                <w:sz w:val="18"/>
                <w:szCs w:val="18"/>
              </w:rPr>
            </w:pPr>
            <w:r w:rsidRPr="00374C95">
              <w:rPr>
                <w:sz w:val="18"/>
                <w:szCs w:val="18"/>
              </w:rPr>
              <w:t>N/A</w:t>
            </w:r>
          </w:p>
        </w:tc>
        <w:tc>
          <w:tcPr>
            <w:tcW w:w="962" w:type="pct"/>
            <w:tcBorders>
              <w:top w:val="nil"/>
              <w:left w:val="nil"/>
              <w:bottom w:val="single" w:sz="4" w:space="0" w:color="auto"/>
              <w:right w:val="single" w:sz="4" w:space="0" w:color="auto"/>
            </w:tcBorders>
            <w:shd w:val="clear" w:color="auto" w:fill="auto"/>
            <w:noWrap/>
          </w:tcPr>
          <w:p w:rsidR="007C52E8" w:rsidRPr="00374C95" w:rsidRDefault="007C52E8" w:rsidP="007C52E8">
            <w:pPr>
              <w:spacing w:line="240" w:lineRule="auto"/>
              <w:jc w:val="both"/>
              <w:rPr>
                <w:color w:val="000000" w:themeColor="text1"/>
                <w:sz w:val="18"/>
                <w:szCs w:val="18"/>
              </w:rPr>
            </w:pPr>
            <w:r>
              <w:rPr>
                <w:color w:val="000000" w:themeColor="text1"/>
                <w:sz w:val="18"/>
                <w:szCs w:val="18"/>
              </w:rPr>
              <w:t>£6,576</w:t>
            </w:r>
          </w:p>
        </w:tc>
        <w:tc>
          <w:tcPr>
            <w:tcW w:w="1281" w:type="pct"/>
            <w:tcBorders>
              <w:top w:val="nil"/>
              <w:left w:val="nil"/>
              <w:bottom w:val="single" w:sz="4" w:space="0" w:color="auto"/>
              <w:right w:val="single" w:sz="8" w:space="0" w:color="auto"/>
            </w:tcBorders>
            <w:shd w:val="clear" w:color="auto" w:fill="auto"/>
            <w:noWrap/>
          </w:tcPr>
          <w:p w:rsidR="007C52E8" w:rsidRPr="00374C95" w:rsidRDefault="007C52E8" w:rsidP="007C52E8">
            <w:pPr>
              <w:spacing w:line="240" w:lineRule="auto"/>
              <w:jc w:val="both"/>
              <w:rPr>
                <w:color w:val="000000" w:themeColor="text1"/>
                <w:sz w:val="18"/>
                <w:szCs w:val="18"/>
              </w:rPr>
            </w:pPr>
            <w:r>
              <w:rPr>
                <w:color w:val="000000" w:themeColor="text1"/>
                <w:sz w:val="18"/>
                <w:szCs w:val="18"/>
              </w:rPr>
              <w:t>£26,304</w:t>
            </w:r>
          </w:p>
        </w:tc>
      </w:tr>
      <w:tr w:rsidR="007C52E8" w:rsidRPr="00374C95" w:rsidTr="00117893">
        <w:trPr>
          <w:trHeight w:val="288"/>
        </w:trPr>
        <w:tc>
          <w:tcPr>
            <w:tcW w:w="1795" w:type="pct"/>
            <w:tcBorders>
              <w:top w:val="nil"/>
              <w:left w:val="single" w:sz="8" w:space="0" w:color="auto"/>
              <w:bottom w:val="single" w:sz="4" w:space="0" w:color="auto"/>
              <w:right w:val="single" w:sz="4" w:space="0" w:color="auto"/>
            </w:tcBorders>
            <w:shd w:val="clear" w:color="auto" w:fill="auto"/>
            <w:noWrap/>
            <w:vAlign w:val="center"/>
          </w:tcPr>
          <w:p w:rsidR="007C52E8" w:rsidRPr="00374C95" w:rsidRDefault="007C52E8" w:rsidP="007C52E8">
            <w:pPr>
              <w:spacing w:line="240" w:lineRule="auto"/>
              <w:jc w:val="both"/>
              <w:rPr>
                <w:sz w:val="18"/>
                <w:szCs w:val="18"/>
              </w:rPr>
            </w:pPr>
            <w:r w:rsidRPr="00374C95">
              <w:rPr>
                <w:sz w:val="18"/>
                <w:szCs w:val="18"/>
              </w:rPr>
              <w:t>Shared ownership (25%)</w:t>
            </w:r>
          </w:p>
        </w:tc>
        <w:tc>
          <w:tcPr>
            <w:tcW w:w="962" w:type="pct"/>
            <w:tcBorders>
              <w:top w:val="nil"/>
              <w:left w:val="nil"/>
              <w:bottom w:val="single" w:sz="4" w:space="0" w:color="auto"/>
              <w:right w:val="single" w:sz="4" w:space="0" w:color="auto"/>
            </w:tcBorders>
            <w:shd w:val="clear" w:color="auto" w:fill="auto"/>
            <w:noWrap/>
          </w:tcPr>
          <w:p w:rsidR="007C52E8" w:rsidRPr="00374C95" w:rsidRDefault="007C52E8" w:rsidP="007C52E8">
            <w:pPr>
              <w:spacing w:line="240" w:lineRule="auto"/>
              <w:jc w:val="both"/>
              <w:rPr>
                <w:sz w:val="18"/>
                <w:szCs w:val="18"/>
              </w:rPr>
            </w:pPr>
            <w:r>
              <w:rPr>
                <w:color w:val="000000" w:themeColor="text1"/>
                <w:sz w:val="18"/>
                <w:szCs w:val="18"/>
              </w:rPr>
              <w:t>£40,219</w:t>
            </w:r>
          </w:p>
        </w:tc>
        <w:tc>
          <w:tcPr>
            <w:tcW w:w="962" w:type="pct"/>
            <w:tcBorders>
              <w:top w:val="nil"/>
              <w:left w:val="nil"/>
              <w:bottom w:val="single" w:sz="4" w:space="0" w:color="auto"/>
              <w:right w:val="single" w:sz="4" w:space="0" w:color="auto"/>
            </w:tcBorders>
            <w:shd w:val="clear" w:color="auto" w:fill="auto"/>
            <w:noWrap/>
          </w:tcPr>
          <w:p w:rsidR="007C52E8" w:rsidRDefault="007C52E8" w:rsidP="007C52E8">
            <w:pPr>
              <w:spacing w:line="240" w:lineRule="auto"/>
              <w:jc w:val="both"/>
              <w:rPr>
                <w:color w:val="000000" w:themeColor="text1"/>
                <w:sz w:val="18"/>
                <w:szCs w:val="18"/>
              </w:rPr>
            </w:pPr>
            <w:r>
              <w:rPr>
                <w:color w:val="000000" w:themeColor="text1"/>
                <w:sz w:val="18"/>
                <w:szCs w:val="18"/>
              </w:rPr>
              <w:t>£13,406</w:t>
            </w:r>
          </w:p>
        </w:tc>
        <w:tc>
          <w:tcPr>
            <w:tcW w:w="1281" w:type="pct"/>
            <w:tcBorders>
              <w:top w:val="nil"/>
              <w:left w:val="nil"/>
              <w:bottom w:val="single" w:sz="4" w:space="0" w:color="auto"/>
              <w:right w:val="single" w:sz="8" w:space="0" w:color="auto"/>
            </w:tcBorders>
            <w:shd w:val="clear" w:color="auto" w:fill="auto"/>
            <w:noWrap/>
          </w:tcPr>
          <w:p w:rsidR="007C52E8" w:rsidRDefault="007C52E8" w:rsidP="007C52E8">
            <w:pPr>
              <w:spacing w:line="240" w:lineRule="auto"/>
              <w:jc w:val="both"/>
              <w:rPr>
                <w:color w:val="000000" w:themeColor="text1"/>
                <w:sz w:val="18"/>
                <w:szCs w:val="18"/>
              </w:rPr>
            </w:pPr>
            <w:r>
              <w:rPr>
                <w:color w:val="000000" w:themeColor="text1"/>
                <w:sz w:val="18"/>
                <w:szCs w:val="18"/>
              </w:rPr>
              <w:t>£24,897</w:t>
            </w:r>
          </w:p>
        </w:tc>
      </w:tr>
      <w:tr w:rsidR="007C52E8" w:rsidRPr="00374C95" w:rsidTr="00117893">
        <w:trPr>
          <w:trHeight w:val="288"/>
        </w:trPr>
        <w:tc>
          <w:tcPr>
            <w:tcW w:w="1795" w:type="pct"/>
            <w:tcBorders>
              <w:top w:val="nil"/>
              <w:left w:val="single" w:sz="8" w:space="0" w:color="auto"/>
              <w:bottom w:val="single" w:sz="4" w:space="0" w:color="auto"/>
              <w:right w:val="single" w:sz="4" w:space="0" w:color="auto"/>
            </w:tcBorders>
            <w:shd w:val="clear" w:color="auto" w:fill="auto"/>
            <w:noWrap/>
            <w:vAlign w:val="center"/>
            <w:hideMark/>
          </w:tcPr>
          <w:p w:rsidR="007C52E8" w:rsidRPr="00374C95" w:rsidRDefault="007C52E8" w:rsidP="007C52E8">
            <w:pPr>
              <w:spacing w:line="240" w:lineRule="auto"/>
              <w:jc w:val="both"/>
              <w:rPr>
                <w:sz w:val="18"/>
                <w:szCs w:val="18"/>
              </w:rPr>
            </w:pPr>
            <w:r w:rsidRPr="00374C95">
              <w:rPr>
                <w:sz w:val="18"/>
                <w:szCs w:val="18"/>
              </w:rPr>
              <w:t>Social rent - 3 bed dwelling</w:t>
            </w:r>
          </w:p>
        </w:tc>
        <w:tc>
          <w:tcPr>
            <w:tcW w:w="962" w:type="pct"/>
            <w:tcBorders>
              <w:top w:val="nil"/>
              <w:left w:val="nil"/>
              <w:bottom w:val="single" w:sz="4" w:space="0" w:color="auto"/>
              <w:right w:val="single" w:sz="4" w:space="0" w:color="auto"/>
            </w:tcBorders>
            <w:shd w:val="clear" w:color="auto" w:fill="auto"/>
            <w:noWrap/>
          </w:tcPr>
          <w:p w:rsidR="007C52E8" w:rsidRPr="00374C95" w:rsidRDefault="007C52E8" w:rsidP="007C52E8">
            <w:pPr>
              <w:spacing w:line="240" w:lineRule="auto"/>
              <w:jc w:val="both"/>
              <w:rPr>
                <w:color w:val="000000" w:themeColor="text1"/>
                <w:sz w:val="18"/>
                <w:szCs w:val="18"/>
              </w:rPr>
            </w:pPr>
            <w:r w:rsidRPr="00374C95">
              <w:rPr>
                <w:sz w:val="18"/>
                <w:szCs w:val="18"/>
              </w:rPr>
              <w:t>N/A</w:t>
            </w:r>
          </w:p>
        </w:tc>
        <w:tc>
          <w:tcPr>
            <w:tcW w:w="962" w:type="pct"/>
            <w:tcBorders>
              <w:top w:val="nil"/>
              <w:left w:val="nil"/>
              <w:bottom w:val="single" w:sz="4" w:space="0" w:color="auto"/>
              <w:right w:val="single" w:sz="4" w:space="0" w:color="auto"/>
            </w:tcBorders>
            <w:shd w:val="clear" w:color="auto" w:fill="auto"/>
            <w:noWrap/>
          </w:tcPr>
          <w:p w:rsidR="007C52E8" w:rsidRPr="00374C95" w:rsidRDefault="007C52E8" w:rsidP="007C52E8">
            <w:pPr>
              <w:spacing w:line="240" w:lineRule="auto"/>
              <w:jc w:val="both"/>
              <w:rPr>
                <w:color w:val="000000" w:themeColor="text1"/>
                <w:sz w:val="18"/>
                <w:szCs w:val="18"/>
              </w:rPr>
            </w:pPr>
            <w:r>
              <w:rPr>
                <w:color w:val="000000" w:themeColor="text1"/>
                <w:sz w:val="18"/>
                <w:szCs w:val="18"/>
              </w:rPr>
              <w:t>£5,262</w:t>
            </w:r>
          </w:p>
        </w:tc>
        <w:tc>
          <w:tcPr>
            <w:tcW w:w="1281" w:type="pct"/>
            <w:tcBorders>
              <w:top w:val="nil"/>
              <w:left w:val="nil"/>
              <w:bottom w:val="single" w:sz="4" w:space="0" w:color="auto"/>
              <w:right w:val="single" w:sz="8" w:space="0" w:color="auto"/>
            </w:tcBorders>
            <w:shd w:val="clear" w:color="auto" w:fill="auto"/>
            <w:noWrap/>
          </w:tcPr>
          <w:p w:rsidR="007C52E8" w:rsidRPr="00374C95" w:rsidRDefault="007C52E8" w:rsidP="007C52E8">
            <w:pPr>
              <w:spacing w:line="240" w:lineRule="auto"/>
              <w:jc w:val="both"/>
              <w:rPr>
                <w:color w:val="000000" w:themeColor="text1"/>
                <w:sz w:val="18"/>
                <w:szCs w:val="18"/>
              </w:rPr>
            </w:pPr>
            <w:r>
              <w:rPr>
                <w:color w:val="000000" w:themeColor="text1"/>
                <w:sz w:val="18"/>
                <w:szCs w:val="18"/>
              </w:rPr>
              <w:t>£21,050</w:t>
            </w:r>
          </w:p>
        </w:tc>
      </w:tr>
      <w:tr w:rsidR="007C52E8" w:rsidRPr="00374C95" w:rsidTr="00117893">
        <w:trPr>
          <w:trHeight w:val="300"/>
        </w:trPr>
        <w:tc>
          <w:tcPr>
            <w:tcW w:w="1795" w:type="pct"/>
            <w:tcBorders>
              <w:top w:val="nil"/>
              <w:left w:val="single" w:sz="8" w:space="0" w:color="auto"/>
              <w:bottom w:val="single" w:sz="8" w:space="0" w:color="auto"/>
              <w:right w:val="single" w:sz="4" w:space="0" w:color="auto"/>
            </w:tcBorders>
            <w:shd w:val="clear" w:color="auto" w:fill="auto"/>
            <w:noWrap/>
            <w:vAlign w:val="center"/>
            <w:hideMark/>
          </w:tcPr>
          <w:p w:rsidR="007C52E8" w:rsidRPr="00374C95" w:rsidRDefault="007C52E8" w:rsidP="007C52E8">
            <w:pPr>
              <w:spacing w:line="240" w:lineRule="auto"/>
              <w:jc w:val="both"/>
              <w:rPr>
                <w:sz w:val="18"/>
                <w:szCs w:val="18"/>
              </w:rPr>
            </w:pPr>
            <w:r w:rsidRPr="00374C95">
              <w:rPr>
                <w:sz w:val="18"/>
                <w:szCs w:val="18"/>
              </w:rPr>
              <w:lastRenderedPageBreak/>
              <w:t>Social rent - 2 bed dwelling</w:t>
            </w:r>
          </w:p>
        </w:tc>
        <w:tc>
          <w:tcPr>
            <w:tcW w:w="962" w:type="pct"/>
            <w:tcBorders>
              <w:top w:val="nil"/>
              <w:left w:val="nil"/>
              <w:bottom w:val="single" w:sz="8" w:space="0" w:color="auto"/>
              <w:right w:val="single" w:sz="4" w:space="0" w:color="auto"/>
            </w:tcBorders>
            <w:shd w:val="clear" w:color="auto" w:fill="auto"/>
            <w:noWrap/>
          </w:tcPr>
          <w:p w:rsidR="007C52E8" w:rsidRPr="00374C95" w:rsidRDefault="007C52E8" w:rsidP="007C52E8">
            <w:pPr>
              <w:spacing w:line="240" w:lineRule="auto"/>
              <w:jc w:val="both"/>
              <w:rPr>
                <w:color w:val="000000" w:themeColor="text1"/>
                <w:sz w:val="18"/>
                <w:szCs w:val="18"/>
              </w:rPr>
            </w:pPr>
            <w:r w:rsidRPr="00374C95">
              <w:rPr>
                <w:sz w:val="18"/>
                <w:szCs w:val="18"/>
              </w:rPr>
              <w:t>N/A</w:t>
            </w:r>
          </w:p>
        </w:tc>
        <w:tc>
          <w:tcPr>
            <w:tcW w:w="962" w:type="pct"/>
            <w:tcBorders>
              <w:top w:val="nil"/>
              <w:left w:val="nil"/>
              <w:bottom w:val="single" w:sz="8" w:space="0" w:color="auto"/>
              <w:right w:val="single" w:sz="4" w:space="0" w:color="auto"/>
            </w:tcBorders>
            <w:shd w:val="clear" w:color="auto" w:fill="auto"/>
            <w:noWrap/>
          </w:tcPr>
          <w:p w:rsidR="007C52E8" w:rsidRPr="00374C95" w:rsidRDefault="007C52E8" w:rsidP="007C52E8">
            <w:pPr>
              <w:spacing w:line="240" w:lineRule="auto"/>
              <w:jc w:val="both"/>
              <w:rPr>
                <w:color w:val="000000" w:themeColor="text1"/>
                <w:sz w:val="18"/>
                <w:szCs w:val="18"/>
              </w:rPr>
            </w:pPr>
            <w:r>
              <w:rPr>
                <w:color w:val="000000" w:themeColor="text1"/>
                <w:sz w:val="18"/>
                <w:szCs w:val="18"/>
              </w:rPr>
              <w:t>£4,786</w:t>
            </w:r>
          </w:p>
        </w:tc>
        <w:tc>
          <w:tcPr>
            <w:tcW w:w="1281" w:type="pct"/>
            <w:tcBorders>
              <w:top w:val="nil"/>
              <w:left w:val="nil"/>
              <w:bottom w:val="single" w:sz="8" w:space="0" w:color="auto"/>
              <w:right w:val="single" w:sz="8" w:space="0" w:color="auto"/>
            </w:tcBorders>
            <w:shd w:val="clear" w:color="auto" w:fill="auto"/>
            <w:noWrap/>
          </w:tcPr>
          <w:p w:rsidR="007C52E8" w:rsidRPr="00374C95" w:rsidRDefault="007C52E8" w:rsidP="007C52E8">
            <w:pPr>
              <w:spacing w:line="240" w:lineRule="auto"/>
              <w:jc w:val="both"/>
              <w:rPr>
                <w:color w:val="000000" w:themeColor="text1"/>
                <w:sz w:val="18"/>
                <w:szCs w:val="18"/>
              </w:rPr>
            </w:pPr>
            <w:r>
              <w:rPr>
                <w:color w:val="000000" w:themeColor="text1"/>
                <w:sz w:val="18"/>
                <w:szCs w:val="18"/>
              </w:rPr>
              <w:t>£19,142</w:t>
            </w:r>
          </w:p>
        </w:tc>
      </w:tr>
    </w:tbl>
    <w:p w:rsidR="002C2D5C" w:rsidRPr="00374C95" w:rsidRDefault="002C2D5C" w:rsidP="002C2D5C">
      <w:pPr>
        <w:pStyle w:val="Source"/>
        <w:jc w:val="both"/>
        <w:rPr>
          <w:sz w:val="18"/>
          <w:szCs w:val="18"/>
          <w:lang w:val="en-GB"/>
        </w:rPr>
      </w:pPr>
      <w:r w:rsidRPr="00374C95">
        <w:rPr>
          <w:sz w:val="18"/>
          <w:szCs w:val="18"/>
          <w:lang w:val="en-GB"/>
        </w:rPr>
        <w:t>Source: AECOM Calculations</w:t>
      </w:r>
    </w:p>
    <w:p w:rsidR="002C2D5C" w:rsidRPr="00766401" w:rsidRDefault="002C2D5C" w:rsidP="002C2D5C">
      <w:pPr>
        <w:pStyle w:val="ListNumber"/>
        <w:spacing w:before="0"/>
        <w:jc w:val="both"/>
        <w:rPr>
          <w:sz w:val="18"/>
          <w:szCs w:val="18"/>
          <w:lang w:val="en-GB"/>
        </w:rPr>
      </w:pPr>
      <w:r w:rsidRPr="00766401">
        <w:rPr>
          <w:sz w:val="18"/>
          <w:szCs w:val="18"/>
          <w:lang w:val="en-GB"/>
        </w:rPr>
        <w:t>The income required to afford the different tenures is then benchmarked</w:t>
      </w:r>
      <w:r w:rsidR="00BB2201">
        <w:rPr>
          <w:sz w:val="18"/>
          <w:szCs w:val="18"/>
          <w:lang w:val="en-GB"/>
        </w:rPr>
        <w:t>,</w:t>
      </w:r>
      <w:r w:rsidRPr="00766401">
        <w:rPr>
          <w:sz w:val="18"/>
          <w:szCs w:val="18"/>
          <w:lang w:val="en-GB"/>
        </w:rPr>
        <w:t xml:space="preserve"> </w:t>
      </w:r>
      <w:r w:rsidR="00BB2201">
        <w:rPr>
          <w:sz w:val="18"/>
          <w:szCs w:val="18"/>
          <w:lang w:val="en-GB"/>
        </w:rPr>
        <w:t xml:space="preserve">in </w:t>
      </w:r>
      <w:fldSimple w:instr=" REF _Ref5192789 \h  \* MERGEFORMAT ">
        <w:r w:rsidR="00E14AFB" w:rsidRPr="00E14AFB">
          <w:rPr>
            <w:sz w:val="18"/>
            <w:szCs w:val="18"/>
            <w:lang w:val="en-GB"/>
          </w:rPr>
          <w:t>Figure 5</w:t>
        </w:r>
        <w:r w:rsidR="00E14AFB" w:rsidRPr="00E14AFB">
          <w:rPr>
            <w:sz w:val="18"/>
            <w:szCs w:val="18"/>
            <w:lang w:val="en-GB"/>
          </w:rPr>
          <w:noBreakHyphen/>
          <w:t>2</w:t>
        </w:r>
      </w:fldSimple>
      <w:r w:rsidR="00BB2201">
        <w:rPr>
          <w:sz w:val="18"/>
          <w:szCs w:val="18"/>
          <w:lang w:val="en-GB"/>
        </w:rPr>
        <w:t xml:space="preserve"> </w:t>
      </w:r>
      <w:r w:rsidRPr="00766401">
        <w:rPr>
          <w:sz w:val="18"/>
          <w:szCs w:val="18"/>
          <w:lang w:val="en-GB"/>
        </w:rPr>
        <w:t xml:space="preserve">against </w:t>
      </w:r>
      <w:r w:rsidR="00BB2201">
        <w:rPr>
          <w:sz w:val="18"/>
          <w:szCs w:val="18"/>
          <w:lang w:val="en-GB"/>
        </w:rPr>
        <w:t xml:space="preserve">the </w:t>
      </w:r>
      <w:r w:rsidRPr="00766401">
        <w:rPr>
          <w:sz w:val="18"/>
          <w:szCs w:val="18"/>
          <w:lang w:val="en-GB"/>
        </w:rPr>
        <w:t>two measurements of household income</w:t>
      </w:r>
      <w:r w:rsidR="00BB2201">
        <w:rPr>
          <w:sz w:val="18"/>
          <w:szCs w:val="18"/>
          <w:lang w:val="en-GB"/>
        </w:rPr>
        <w:t xml:space="preserve"> set out above. </w:t>
      </w:r>
      <w:r w:rsidR="00613236" w:rsidRPr="00613236">
        <w:rPr>
          <w:sz w:val="18"/>
          <w:szCs w:val="18"/>
          <w:lang w:val="en-GB"/>
        </w:rPr>
        <w:t xml:space="preserve">These are the average net household income before housing costs for </w:t>
      </w:r>
      <w:r w:rsidR="00830665" w:rsidRPr="0048407F">
        <w:rPr>
          <w:sz w:val="18"/>
          <w:szCs w:val="18"/>
          <w:lang w:val="en-GB"/>
        </w:rPr>
        <w:t xml:space="preserve">MSOA </w:t>
      </w:r>
      <w:r w:rsidR="0048407F" w:rsidRPr="00D04233">
        <w:rPr>
          <w:sz w:val="18"/>
          <w:szCs w:val="18"/>
        </w:rPr>
        <w:t>E02005537</w:t>
      </w:r>
      <w:r w:rsidR="00613236" w:rsidRPr="00613236">
        <w:rPr>
          <w:sz w:val="18"/>
          <w:szCs w:val="18"/>
          <w:lang w:val="en-GB"/>
        </w:rPr>
        <w:t xml:space="preserve"> at </w:t>
      </w:r>
      <w:r w:rsidR="007C52E8">
        <w:rPr>
          <w:sz w:val="18"/>
          <w:szCs w:val="18"/>
          <w:lang w:val="en-GB"/>
        </w:rPr>
        <w:t>£</w:t>
      </w:r>
      <w:r w:rsidR="00A60D74" w:rsidRPr="00D04233">
        <w:rPr>
          <w:sz w:val="18"/>
          <w:szCs w:val="18"/>
        </w:rPr>
        <w:t>41,500</w:t>
      </w:r>
      <w:r w:rsidR="00A60D74">
        <w:rPr>
          <w:sz w:val="18"/>
          <w:szCs w:val="18"/>
        </w:rPr>
        <w:t xml:space="preserve"> </w:t>
      </w:r>
      <w:r w:rsidR="00613236" w:rsidRPr="00613236">
        <w:rPr>
          <w:sz w:val="18"/>
          <w:szCs w:val="18"/>
          <w:lang w:val="en-GB"/>
        </w:rPr>
        <w:t xml:space="preserve">and the lower quartile gross household income for </w:t>
      </w:r>
      <w:r w:rsidR="00F329D8">
        <w:rPr>
          <w:sz w:val="18"/>
          <w:szCs w:val="18"/>
          <w:lang w:val="en-GB"/>
        </w:rPr>
        <w:t>Broadland</w:t>
      </w:r>
      <w:r w:rsidR="00613236" w:rsidRPr="00613236">
        <w:rPr>
          <w:sz w:val="18"/>
          <w:szCs w:val="18"/>
          <w:lang w:val="en-GB"/>
        </w:rPr>
        <w:t xml:space="preserve"> at </w:t>
      </w:r>
      <w:r w:rsidR="00A60D74" w:rsidRPr="00BB2201">
        <w:rPr>
          <w:sz w:val="18"/>
          <w:szCs w:val="18"/>
        </w:rPr>
        <w:t>£</w:t>
      </w:r>
      <w:r w:rsidR="00A60D74">
        <w:rPr>
          <w:sz w:val="18"/>
          <w:szCs w:val="18"/>
        </w:rPr>
        <w:t>21,088</w:t>
      </w:r>
      <w:r w:rsidR="00613236" w:rsidRPr="00613236">
        <w:rPr>
          <w:sz w:val="18"/>
          <w:szCs w:val="18"/>
          <w:lang w:val="en-GB"/>
        </w:rPr>
        <w:t xml:space="preserve">. </w:t>
      </w:r>
    </w:p>
    <w:p w:rsidR="009E4FD1" w:rsidRPr="00A63374" w:rsidRDefault="009E4FD1" w:rsidP="00766401">
      <w:pPr>
        <w:pStyle w:val="ListNumber"/>
        <w:spacing w:before="0"/>
        <w:jc w:val="both"/>
        <w:rPr>
          <w:sz w:val="18"/>
          <w:szCs w:val="18"/>
        </w:rPr>
      </w:pPr>
      <w:r>
        <w:rPr>
          <w:sz w:val="18"/>
          <w:szCs w:val="18"/>
        </w:rPr>
        <w:t>Looking at the affordability thresholds set out above, it is apparent that single-earning households on lower quartile incomes are unable to afford any of the housing tenures under consideration apart from social rent. However, the lower quartile income data is gross, and therefore does not reflect housing benefits or other forms of financial assistance.</w:t>
      </w:r>
      <w:r w:rsidR="002D5E41">
        <w:rPr>
          <w:sz w:val="18"/>
          <w:szCs w:val="18"/>
        </w:rPr>
        <w:t xml:space="preserve"> It is possible that with such assistance of a greater proportion of annual income available to spend on housing than we have assumed here would enable such households to access affordable rent or even shared ownership at low equity shares.</w:t>
      </w:r>
      <w:r>
        <w:rPr>
          <w:sz w:val="18"/>
          <w:szCs w:val="18"/>
        </w:rPr>
        <w:t xml:space="preserve"> </w:t>
      </w:r>
      <w:r w:rsidRPr="00A63374">
        <w:rPr>
          <w:sz w:val="18"/>
          <w:szCs w:val="18"/>
        </w:rPr>
        <w:t>F</w:t>
      </w:r>
      <w:r>
        <w:rPr>
          <w:sz w:val="18"/>
          <w:szCs w:val="18"/>
        </w:rPr>
        <w:t xml:space="preserve">or </w:t>
      </w:r>
      <w:r w:rsidR="002D5E41">
        <w:rPr>
          <w:sz w:val="18"/>
          <w:szCs w:val="18"/>
        </w:rPr>
        <w:t xml:space="preserve">those on average </w:t>
      </w:r>
      <w:r>
        <w:rPr>
          <w:sz w:val="18"/>
          <w:szCs w:val="18"/>
        </w:rPr>
        <w:t>total annual household income</w:t>
      </w:r>
      <w:r w:rsidR="002D5E41">
        <w:rPr>
          <w:sz w:val="18"/>
          <w:szCs w:val="18"/>
        </w:rPr>
        <w:t>s</w:t>
      </w:r>
      <w:r>
        <w:rPr>
          <w:sz w:val="18"/>
          <w:szCs w:val="18"/>
        </w:rPr>
        <w:t xml:space="preserve">, shared ownership (75%), discounted market sale at 20% discount, entry-level market rent, shared ownership (50%), affordable rent, and shared ownership (25%) are </w:t>
      </w:r>
      <w:r w:rsidR="002D5E41">
        <w:rPr>
          <w:sz w:val="18"/>
          <w:szCs w:val="18"/>
        </w:rPr>
        <w:t xml:space="preserve">all </w:t>
      </w:r>
      <w:r>
        <w:rPr>
          <w:sz w:val="18"/>
          <w:szCs w:val="18"/>
        </w:rPr>
        <w:t>accessible.</w:t>
      </w:r>
      <w:r w:rsidR="00655A5A">
        <w:rPr>
          <w:sz w:val="18"/>
          <w:szCs w:val="18"/>
        </w:rPr>
        <w:t xml:space="preserve"> </w:t>
      </w:r>
    </w:p>
    <w:p w:rsidR="007C52E8" w:rsidRDefault="00381436" w:rsidP="00C46841">
      <w:pPr>
        <w:pStyle w:val="ListNumber"/>
        <w:spacing w:before="0"/>
        <w:jc w:val="both"/>
        <w:rPr>
          <w:b/>
          <w:bCs/>
        </w:rPr>
        <w:sectPr w:rsidR="007C52E8" w:rsidSect="004B0B76">
          <w:headerReference w:type="default" r:id="rId16"/>
          <w:pgSz w:w="11907" w:h="16839" w:code="9"/>
          <w:pgMar w:top="1440" w:right="1080" w:bottom="1080" w:left="993" w:header="432" w:footer="432" w:gutter="0"/>
          <w:cols w:space="720"/>
          <w:docGrid w:linePitch="360"/>
        </w:sectPr>
      </w:pPr>
      <w:r w:rsidRPr="007C52E8">
        <w:rPr>
          <w:sz w:val="18"/>
          <w:szCs w:val="18"/>
        </w:rPr>
        <w:t xml:space="preserve">Government policy </w:t>
      </w:r>
      <w:r w:rsidR="00F02794" w:rsidRPr="007C52E8">
        <w:rPr>
          <w:sz w:val="18"/>
          <w:szCs w:val="18"/>
        </w:rPr>
        <w:t xml:space="preserve">aimed at </w:t>
      </w:r>
      <w:r w:rsidRPr="007C52E8">
        <w:rPr>
          <w:sz w:val="18"/>
          <w:szCs w:val="18"/>
        </w:rPr>
        <w:t xml:space="preserve">tackling the housing crisis </w:t>
      </w:r>
      <w:r w:rsidR="00F02794" w:rsidRPr="007C52E8">
        <w:rPr>
          <w:sz w:val="18"/>
          <w:szCs w:val="18"/>
        </w:rPr>
        <w:t>continues to focus</w:t>
      </w:r>
      <w:r w:rsidRPr="007C52E8">
        <w:rPr>
          <w:sz w:val="18"/>
          <w:szCs w:val="18"/>
        </w:rPr>
        <w:t xml:space="preserve"> on helping tho</w:t>
      </w:r>
      <w:r w:rsidR="00F02794" w:rsidRPr="007C52E8">
        <w:rPr>
          <w:sz w:val="18"/>
          <w:szCs w:val="18"/>
        </w:rPr>
        <w:t xml:space="preserve">se on lower quartile incomes and others who are unable to afford market housing for purchase, such as younger buyers, to access affordable routes towards </w:t>
      </w:r>
      <w:r w:rsidRPr="007C52E8">
        <w:rPr>
          <w:sz w:val="18"/>
          <w:szCs w:val="18"/>
        </w:rPr>
        <w:t>homeownership</w:t>
      </w:r>
      <w:r w:rsidR="00F02794" w:rsidRPr="007C52E8">
        <w:rPr>
          <w:sz w:val="18"/>
          <w:szCs w:val="18"/>
        </w:rPr>
        <w:t>.</w:t>
      </w:r>
      <w:r w:rsidR="00F02794">
        <w:rPr>
          <w:rStyle w:val="FootnoteReference"/>
          <w:sz w:val="18"/>
          <w:szCs w:val="18"/>
          <w:lang w:val="en-GB"/>
        </w:rPr>
        <w:footnoteReference w:id="23"/>
      </w:r>
      <w:r w:rsidR="00F02794" w:rsidRPr="007C52E8">
        <w:rPr>
          <w:sz w:val="18"/>
          <w:szCs w:val="18"/>
        </w:rPr>
        <w:t xml:space="preserve">. In the case of </w:t>
      </w:r>
      <w:r w:rsidR="00611610" w:rsidRPr="007C52E8">
        <w:rPr>
          <w:sz w:val="18"/>
          <w:szCs w:val="18"/>
        </w:rPr>
        <w:t>Reedham</w:t>
      </w:r>
      <w:r w:rsidR="00F02794" w:rsidRPr="007C52E8">
        <w:rPr>
          <w:sz w:val="18"/>
          <w:szCs w:val="18"/>
        </w:rPr>
        <w:t xml:space="preserve">, the </w:t>
      </w:r>
      <w:r w:rsidR="002828D7" w:rsidRPr="007C52E8">
        <w:rPr>
          <w:sz w:val="18"/>
          <w:szCs w:val="18"/>
        </w:rPr>
        <w:t>figure below</w:t>
      </w:r>
      <w:r w:rsidR="00F02794" w:rsidRPr="007C52E8">
        <w:rPr>
          <w:sz w:val="18"/>
          <w:szCs w:val="18"/>
        </w:rPr>
        <w:t xml:space="preserve"> suggests that the most appropriate </w:t>
      </w:r>
      <w:r w:rsidR="00722A54" w:rsidRPr="007C52E8">
        <w:rPr>
          <w:sz w:val="18"/>
          <w:szCs w:val="18"/>
        </w:rPr>
        <w:t xml:space="preserve">tenure to help </w:t>
      </w:r>
      <w:r w:rsidR="005F54A3" w:rsidRPr="007C52E8">
        <w:rPr>
          <w:sz w:val="18"/>
          <w:szCs w:val="18"/>
        </w:rPr>
        <w:t>implement</w:t>
      </w:r>
      <w:r w:rsidR="00F02794" w:rsidRPr="007C52E8">
        <w:rPr>
          <w:sz w:val="18"/>
          <w:szCs w:val="18"/>
        </w:rPr>
        <w:t xml:space="preserve"> this policy goal locally </w:t>
      </w:r>
      <w:r w:rsidR="007C52E8" w:rsidRPr="007C52E8">
        <w:rPr>
          <w:sz w:val="18"/>
          <w:szCs w:val="18"/>
        </w:rPr>
        <w:t>is</w:t>
      </w:r>
      <w:r w:rsidR="004E746A" w:rsidRPr="007C52E8">
        <w:rPr>
          <w:sz w:val="18"/>
          <w:szCs w:val="18"/>
        </w:rPr>
        <w:t xml:space="preserve"> Shared Ownership</w:t>
      </w:r>
      <w:r w:rsidR="00AF43AF" w:rsidRPr="007C52E8">
        <w:rPr>
          <w:sz w:val="18"/>
          <w:szCs w:val="18"/>
        </w:rPr>
        <w:t xml:space="preserve"> at 25%</w:t>
      </w:r>
      <w:r w:rsidR="007C52E8" w:rsidRPr="007C52E8">
        <w:rPr>
          <w:sz w:val="18"/>
          <w:szCs w:val="18"/>
        </w:rPr>
        <w:t>, though it is still unaffordable to those on the lowest incomes</w:t>
      </w:r>
      <w:r w:rsidR="004E746A" w:rsidRPr="007C52E8">
        <w:rPr>
          <w:sz w:val="18"/>
          <w:szCs w:val="18"/>
        </w:rPr>
        <w:t>.</w:t>
      </w:r>
      <w:r w:rsidR="009C2FCC" w:rsidRPr="007C52E8">
        <w:rPr>
          <w:sz w:val="18"/>
          <w:szCs w:val="18"/>
        </w:rPr>
        <w:t xml:space="preserve"> </w:t>
      </w:r>
      <w:bookmarkStart w:id="90" w:name="_Ref5192789"/>
    </w:p>
    <w:p w:rsidR="00215D9F" w:rsidRDefault="00FE0AB5" w:rsidP="00215D9F">
      <w:pPr>
        <w:pStyle w:val="Caption"/>
        <w:jc w:val="both"/>
      </w:pPr>
      <w:r>
        <w:rPr>
          <w:noProof/>
        </w:rPr>
        <w:lastRenderedPageBreak/>
        <w:drawing>
          <wp:anchor distT="0" distB="0" distL="114300" distR="114300" simplePos="0" relativeHeight="251670528" behindDoc="0" locked="0" layoutInCell="1" allowOverlap="1">
            <wp:simplePos x="0" y="0"/>
            <wp:positionH relativeFrom="column">
              <wp:posOffset>200025</wp:posOffset>
            </wp:positionH>
            <wp:positionV relativeFrom="paragraph">
              <wp:posOffset>255905</wp:posOffset>
            </wp:positionV>
            <wp:extent cx="9092565" cy="4337050"/>
            <wp:effectExtent l="0" t="0" r="13335" b="6350"/>
            <wp:wrapTopAndBottom/>
            <wp:docPr id="5" name="Chart 5">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00000000-0008-0000-01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r w:rsidR="00215D9F" w:rsidRPr="004B0B76">
        <w:t xml:space="preserve">Figure </w:t>
      </w:r>
      <w:r w:rsidR="001A69AC" w:rsidRPr="004B0B76">
        <w:rPr>
          <w:noProof/>
        </w:rPr>
        <w:fldChar w:fldCharType="begin"/>
      </w:r>
      <w:r w:rsidR="00215D9F" w:rsidRPr="004B0B76">
        <w:rPr>
          <w:noProof/>
        </w:rPr>
        <w:instrText xml:space="preserve"> STYLEREF 1 \s </w:instrText>
      </w:r>
      <w:r w:rsidR="001A69AC" w:rsidRPr="004B0B76">
        <w:rPr>
          <w:noProof/>
        </w:rPr>
        <w:fldChar w:fldCharType="separate"/>
      </w:r>
      <w:r w:rsidR="00E14AFB" w:rsidRPr="004B0B76">
        <w:rPr>
          <w:noProof/>
        </w:rPr>
        <w:t>5</w:t>
      </w:r>
      <w:r w:rsidR="001A69AC" w:rsidRPr="004B0B76">
        <w:rPr>
          <w:noProof/>
        </w:rPr>
        <w:fldChar w:fldCharType="end"/>
      </w:r>
      <w:r w:rsidR="00215D9F" w:rsidRPr="004B0B76">
        <w:noBreakHyphen/>
      </w:r>
      <w:r w:rsidR="001A69AC" w:rsidRPr="004B0B76">
        <w:rPr>
          <w:noProof/>
        </w:rPr>
        <w:fldChar w:fldCharType="begin"/>
      </w:r>
      <w:r w:rsidR="00215D9F" w:rsidRPr="004B0B76">
        <w:rPr>
          <w:noProof/>
        </w:rPr>
        <w:instrText xml:space="preserve"> SEQ Figure \* ARABIC \s 1 </w:instrText>
      </w:r>
      <w:r w:rsidR="001A69AC" w:rsidRPr="004B0B76">
        <w:rPr>
          <w:noProof/>
        </w:rPr>
        <w:fldChar w:fldCharType="separate"/>
      </w:r>
      <w:r w:rsidR="00E14AFB" w:rsidRPr="004B0B76">
        <w:rPr>
          <w:noProof/>
        </w:rPr>
        <w:t>2</w:t>
      </w:r>
      <w:r w:rsidR="001A69AC" w:rsidRPr="004B0B76">
        <w:rPr>
          <w:noProof/>
        </w:rPr>
        <w:fldChar w:fldCharType="end"/>
      </w:r>
      <w:bookmarkEnd w:id="90"/>
      <w:r w:rsidR="00215D9F" w:rsidRPr="004B0B76">
        <w:t>: Affordability thresholds</w:t>
      </w:r>
      <w:r w:rsidR="002D4F56" w:rsidRPr="004B0B76">
        <w:t xml:space="preserve"> in </w:t>
      </w:r>
      <w:r w:rsidR="004B0B76" w:rsidRPr="004B0B76">
        <w:t>Reedham</w:t>
      </w:r>
      <w:r w:rsidR="00215D9F" w:rsidRPr="004B0B76">
        <w:t xml:space="preserve"> (income required, £)</w:t>
      </w:r>
    </w:p>
    <w:p w:rsidR="00215D9F" w:rsidRPr="00284BD9" w:rsidRDefault="00215D9F" w:rsidP="00215D9F">
      <w:pPr>
        <w:pStyle w:val="ListNumber"/>
        <w:widowControl w:val="0"/>
        <w:numPr>
          <w:ilvl w:val="0"/>
          <w:numId w:val="0"/>
        </w:numPr>
        <w:jc w:val="both"/>
        <w:rPr>
          <w:lang w:val="en-GB"/>
        </w:rPr>
      </w:pPr>
    </w:p>
    <w:p w:rsidR="007C52E8" w:rsidRPr="009B3C8C" w:rsidRDefault="00215D9F" w:rsidP="009B3C8C">
      <w:pPr>
        <w:pStyle w:val="Source"/>
        <w:jc w:val="both"/>
        <w:rPr>
          <w:sz w:val="18"/>
          <w:szCs w:val="18"/>
        </w:rPr>
        <w:sectPr w:rsidR="007C52E8" w:rsidRPr="009B3C8C" w:rsidSect="00A71BF3">
          <w:pgSz w:w="16839" w:h="11907" w:orient="landscape" w:code="9"/>
          <w:pgMar w:top="993" w:right="1440" w:bottom="1080" w:left="1080" w:header="432" w:footer="432" w:gutter="0"/>
          <w:cols w:space="720"/>
          <w:docGrid w:linePitch="360"/>
        </w:sectPr>
      </w:pPr>
      <w:r w:rsidRPr="002D4F56">
        <w:rPr>
          <w:sz w:val="18"/>
          <w:szCs w:val="18"/>
        </w:rPr>
        <w:t>Source: AECOM Calculatio</w:t>
      </w:r>
      <w:r w:rsidR="009B3C8C">
        <w:rPr>
          <w:sz w:val="18"/>
          <w:szCs w:val="18"/>
        </w:rPr>
        <w:t>n</w:t>
      </w:r>
    </w:p>
    <w:p w:rsidR="00FC667F" w:rsidRDefault="00FC667F" w:rsidP="00FC667F">
      <w:pPr>
        <w:tabs>
          <w:tab w:val="left" w:pos="6765"/>
        </w:tabs>
      </w:pPr>
      <w:r>
        <w:lastRenderedPageBreak/>
        <w:tab/>
      </w:r>
    </w:p>
    <w:p w:rsidR="0081515D" w:rsidRPr="00A722B4" w:rsidRDefault="00FC667F" w:rsidP="0081515D">
      <w:pPr>
        <w:pStyle w:val="Heading3"/>
      </w:pPr>
      <w:r>
        <w:tab/>
      </w:r>
      <w:bookmarkStart w:id="91" w:name="_Toc30092191"/>
      <w:bookmarkStart w:id="92" w:name="_Toc33015858"/>
      <w:r w:rsidR="0081515D" w:rsidRPr="00A722B4">
        <w:t>Affordable Housing- quantity needed</w:t>
      </w:r>
      <w:bookmarkEnd w:id="91"/>
      <w:bookmarkEnd w:id="92"/>
    </w:p>
    <w:p w:rsidR="0081515D" w:rsidRPr="007A4FCD" w:rsidRDefault="0081515D" w:rsidP="0081515D">
      <w:pPr>
        <w:pStyle w:val="ListNumber"/>
        <w:spacing w:before="0"/>
        <w:jc w:val="both"/>
        <w:rPr>
          <w:sz w:val="18"/>
          <w:szCs w:val="18"/>
        </w:rPr>
      </w:pPr>
      <w:r w:rsidRPr="007A4FCD">
        <w:rPr>
          <w:sz w:val="18"/>
          <w:szCs w:val="18"/>
        </w:rPr>
        <w:t xml:space="preserve">The </w:t>
      </w:r>
      <w:r w:rsidR="007A4FCD" w:rsidRPr="007A4FCD">
        <w:rPr>
          <w:sz w:val="18"/>
          <w:szCs w:val="18"/>
        </w:rPr>
        <w:t>Central Norfolk</w:t>
      </w:r>
      <w:r w:rsidRPr="007A4FCD">
        <w:rPr>
          <w:sz w:val="18"/>
          <w:szCs w:val="18"/>
        </w:rPr>
        <w:t xml:space="preserve"> SHMA (201</w:t>
      </w:r>
      <w:r w:rsidR="00101302" w:rsidRPr="007A4FCD">
        <w:rPr>
          <w:sz w:val="18"/>
          <w:szCs w:val="18"/>
        </w:rPr>
        <w:t>7</w:t>
      </w:r>
      <w:r w:rsidRPr="007A4FCD">
        <w:rPr>
          <w:sz w:val="18"/>
          <w:szCs w:val="18"/>
        </w:rPr>
        <w:t xml:space="preserve">) provides evidence on the need for Affordable Housing within </w:t>
      </w:r>
      <w:r w:rsidR="007A4FCD" w:rsidRPr="007A4FCD">
        <w:rPr>
          <w:sz w:val="18"/>
          <w:szCs w:val="18"/>
        </w:rPr>
        <w:t>Broadland</w:t>
      </w:r>
      <w:r w:rsidRPr="007A4FCD">
        <w:rPr>
          <w:sz w:val="18"/>
          <w:szCs w:val="18"/>
        </w:rPr>
        <w:t xml:space="preserve">. This study identified the need for </w:t>
      </w:r>
      <w:r w:rsidR="007A4FCD" w:rsidRPr="007A4FCD">
        <w:rPr>
          <w:sz w:val="18"/>
          <w:szCs w:val="18"/>
        </w:rPr>
        <w:t>96</w:t>
      </w:r>
      <w:r w:rsidRPr="007A4FCD">
        <w:rPr>
          <w:sz w:val="18"/>
          <w:szCs w:val="18"/>
        </w:rPr>
        <w:t xml:space="preserve"> affordable homes per annum in </w:t>
      </w:r>
      <w:r w:rsidR="007A4FCD" w:rsidRPr="007A4FCD">
        <w:rPr>
          <w:sz w:val="18"/>
          <w:szCs w:val="18"/>
        </w:rPr>
        <w:t>Broadland</w:t>
      </w:r>
      <w:r w:rsidRPr="007A4FCD">
        <w:rPr>
          <w:sz w:val="18"/>
          <w:szCs w:val="18"/>
        </w:rPr>
        <w:t xml:space="preserve"> from 20</w:t>
      </w:r>
      <w:r w:rsidR="007A4FCD" w:rsidRPr="007A4FCD">
        <w:rPr>
          <w:sz w:val="18"/>
          <w:szCs w:val="18"/>
        </w:rPr>
        <w:t>20</w:t>
      </w:r>
      <w:r w:rsidRPr="007A4FCD">
        <w:rPr>
          <w:sz w:val="18"/>
          <w:szCs w:val="18"/>
        </w:rPr>
        <w:t xml:space="preserve">-2036. This figure can be pro-rated to </w:t>
      </w:r>
      <w:r w:rsidR="007A4FCD" w:rsidRPr="007A4FCD">
        <w:rPr>
          <w:sz w:val="18"/>
          <w:szCs w:val="18"/>
        </w:rPr>
        <w:t>Reedham</w:t>
      </w:r>
      <w:r w:rsidRPr="007A4FCD">
        <w:rPr>
          <w:sz w:val="18"/>
          <w:szCs w:val="18"/>
        </w:rPr>
        <w:t xml:space="preserve"> (at a rate of </w:t>
      </w:r>
      <w:r w:rsidR="007A4FCD" w:rsidRPr="007A4FCD">
        <w:rPr>
          <w:sz w:val="18"/>
          <w:szCs w:val="18"/>
        </w:rPr>
        <w:t>0.97</w:t>
      </w:r>
      <w:r w:rsidRPr="007A4FCD">
        <w:rPr>
          <w:sz w:val="18"/>
          <w:szCs w:val="18"/>
        </w:rPr>
        <w:t xml:space="preserve">%, which is the percentage of the </w:t>
      </w:r>
      <w:r w:rsidR="007A4FCD" w:rsidRPr="007A4FCD">
        <w:rPr>
          <w:sz w:val="18"/>
          <w:szCs w:val="18"/>
        </w:rPr>
        <w:t>Broadland</w:t>
      </w:r>
      <w:r w:rsidRPr="007A4FCD">
        <w:rPr>
          <w:sz w:val="18"/>
          <w:szCs w:val="18"/>
        </w:rPr>
        <w:t xml:space="preserve"> population who live in the NA) and equates to </w:t>
      </w:r>
      <w:r w:rsidR="007A4FCD" w:rsidRPr="007A4FCD">
        <w:rPr>
          <w:sz w:val="18"/>
          <w:szCs w:val="18"/>
        </w:rPr>
        <w:t>1</w:t>
      </w:r>
      <w:r w:rsidRPr="007A4FCD">
        <w:rPr>
          <w:sz w:val="18"/>
          <w:szCs w:val="18"/>
        </w:rPr>
        <w:t xml:space="preserve"> affordable home per annum. </w:t>
      </w:r>
    </w:p>
    <w:p w:rsidR="0081515D" w:rsidRPr="006F18DF" w:rsidRDefault="0081515D" w:rsidP="0081515D">
      <w:pPr>
        <w:pStyle w:val="ListNumber"/>
        <w:spacing w:before="0"/>
        <w:jc w:val="both"/>
        <w:rPr>
          <w:sz w:val="18"/>
          <w:szCs w:val="18"/>
        </w:rPr>
      </w:pPr>
      <w:r w:rsidRPr="006F18DF">
        <w:rPr>
          <w:sz w:val="18"/>
          <w:szCs w:val="18"/>
        </w:rPr>
        <w:t>AECOM’s review of this SHMA suggests that the Affordable Housing need identified is focused on households living in unsuitable housing and unable to afford to rent in the market. There is some additional analysis on the role of intermediate housing but the SHMA does not quantify the need (or rather, potential demand) for Affordable Housing from households who can afford to rent but cannot afford to buy and would prefer to do so. The needs and aspirations of this group have become a priority of Government in recent years and is now reflected in revisions to the NPPF which include affordable home ownership products within the definition of Affordable Housing.</w:t>
      </w:r>
    </w:p>
    <w:p w:rsidR="0081515D" w:rsidRPr="007C52E8" w:rsidRDefault="0081515D" w:rsidP="0081515D">
      <w:pPr>
        <w:pStyle w:val="ListNumber"/>
        <w:spacing w:before="0"/>
        <w:jc w:val="both"/>
        <w:rPr>
          <w:sz w:val="18"/>
          <w:szCs w:val="18"/>
        </w:rPr>
      </w:pPr>
      <w:r w:rsidRPr="004C0B28">
        <w:rPr>
          <w:sz w:val="18"/>
          <w:szCs w:val="18"/>
        </w:rPr>
        <w:t xml:space="preserve">In </w:t>
      </w:r>
      <w:r w:rsidRPr="007C52E8">
        <w:rPr>
          <w:sz w:val="18"/>
          <w:szCs w:val="18"/>
        </w:rPr>
        <w:t xml:space="preserve">order to provide an estimate for those who cannot afford to buy in the market in </w:t>
      </w:r>
      <w:r w:rsidR="004C0B28" w:rsidRPr="007C52E8">
        <w:rPr>
          <w:sz w:val="18"/>
          <w:szCs w:val="18"/>
        </w:rPr>
        <w:t>Reedham</w:t>
      </w:r>
      <w:r w:rsidRPr="007C52E8">
        <w:rPr>
          <w:sz w:val="18"/>
          <w:szCs w:val="18"/>
        </w:rPr>
        <w:t xml:space="preserve">, to complement the SHMA’s calculation for those who require affordable rented products, AECOM has produced an additional estimate. </w:t>
      </w:r>
    </w:p>
    <w:p w:rsidR="0081515D" w:rsidRPr="00A71BF3" w:rsidRDefault="001A69AC" w:rsidP="0081515D">
      <w:pPr>
        <w:pStyle w:val="ListNumber"/>
        <w:spacing w:before="0"/>
        <w:jc w:val="both"/>
        <w:rPr>
          <w:sz w:val="18"/>
          <w:szCs w:val="18"/>
        </w:rPr>
      </w:pPr>
      <w:fldSimple w:instr=" REF _Ref30088582 \h  \* MERGEFORMAT ">
        <w:r w:rsidR="0081515D" w:rsidRPr="007C52E8">
          <w:rPr>
            <w:sz w:val="18"/>
            <w:szCs w:val="18"/>
          </w:rPr>
          <w:t xml:space="preserve">Table </w:t>
        </w:r>
        <w:r w:rsidR="0081515D" w:rsidRPr="007C52E8">
          <w:rPr>
            <w:noProof/>
            <w:sz w:val="18"/>
            <w:szCs w:val="18"/>
          </w:rPr>
          <w:t>4</w:t>
        </w:r>
        <w:r w:rsidR="0081515D" w:rsidRPr="007C52E8">
          <w:rPr>
            <w:noProof/>
            <w:sz w:val="18"/>
            <w:szCs w:val="18"/>
          </w:rPr>
          <w:noBreakHyphen/>
          <w:t>5</w:t>
        </w:r>
      </w:fldSimple>
      <w:r w:rsidR="0081515D" w:rsidRPr="007C52E8">
        <w:rPr>
          <w:sz w:val="18"/>
          <w:szCs w:val="18"/>
        </w:rPr>
        <w:t xml:space="preserve"> estimates the number of households who might need affordable home ownership. This is a simplified</w:t>
      </w:r>
      <w:r w:rsidR="0081515D" w:rsidRPr="004C0B28">
        <w:rPr>
          <w:sz w:val="18"/>
          <w:szCs w:val="18"/>
        </w:rPr>
        <w:t xml:space="preserve"> assessment of the needs of these households but considered reasonable and proportionate for the purposes of neighbourhood planning. These are households who can afford to rent in the market but cannot afford to buy and may prefer to do so. These households are additional to the </w:t>
      </w:r>
      <w:r w:rsidR="004C0B28" w:rsidRPr="004C0B28">
        <w:rPr>
          <w:sz w:val="18"/>
          <w:szCs w:val="18"/>
        </w:rPr>
        <w:t>1</w:t>
      </w:r>
      <w:r w:rsidR="0081515D" w:rsidRPr="004C0B28">
        <w:rPr>
          <w:sz w:val="18"/>
          <w:szCs w:val="18"/>
        </w:rPr>
        <w:t xml:space="preserve"> household per annum identified in the SHMA (although there </w:t>
      </w:r>
      <w:r w:rsidR="0081515D" w:rsidRPr="007C52E8">
        <w:rPr>
          <w:sz w:val="18"/>
          <w:szCs w:val="18"/>
        </w:rPr>
        <w:t xml:space="preserve">may be some overlap at the margins). This estimate suggests there may be potential demand for around </w:t>
      </w:r>
      <w:r w:rsidR="00530CE5" w:rsidRPr="007C52E8">
        <w:rPr>
          <w:sz w:val="18"/>
          <w:szCs w:val="18"/>
        </w:rPr>
        <w:t>3.1</w:t>
      </w:r>
      <w:r w:rsidR="0081515D" w:rsidRPr="007C52E8">
        <w:rPr>
          <w:sz w:val="18"/>
          <w:szCs w:val="18"/>
        </w:rPr>
        <w:t xml:space="preserve"> affordable home ownership dwellings per annum over the plan period.</w:t>
      </w:r>
    </w:p>
    <w:p w:rsidR="0081515D" w:rsidRPr="00530CE5" w:rsidRDefault="0081515D" w:rsidP="0081515D">
      <w:pPr>
        <w:pStyle w:val="ListNumber"/>
        <w:spacing w:before="0"/>
        <w:jc w:val="both"/>
        <w:rPr>
          <w:sz w:val="18"/>
          <w:szCs w:val="18"/>
        </w:rPr>
      </w:pPr>
      <w:r w:rsidRPr="007C52E8">
        <w:rPr>
          <w:sz w:val="18"/>
          <w:szCs w:val="18"/>
        </w:rPr>
        <w:t>The total</w:t>
      </w:r>
      <w:r w:rsidRPr="00530CE5">
        <w:rPr>
          <w:sz w:val="18"/>
          <w:szCs w:val="18"/>
        </w:rPr>
        <w:t xml:space="preserve"> estimated Affordable Housing need over the Plan period 2020-2036 is therefore</w:t>
      </w:r>
      <w:r w:rsidR="004C0B28" w:rsidRPr="00530CE5">
        <w:rPr>
          <w:sz w:val="18"/>
          <w:szCs w:val="18"/>
        </w:rPr>
        <w:t xml:space="preserve"> </w:t>
      </w:r>
      <w:r w:rsidR="00530CE5" w:rsidRPr="00530CE5">
        <w:rPr>
          <w:sz w:val="18"/>
          <w:szCs w:val="18"/>
        </w:rPr>
        <w:t>15</w:t>
      </w:r>
      <w:r w:rsidRPr="00530CE5">
        <w:rPr>
          <w:sz w:val="18"/>
          <w:szCs w:val="18"/>
        </w:rPr>
        <w:t xml:space="preserve"> (rounded) affordable rented homes and </w:t>
      </w:r>
      <w:r w:rsidR="00530CE5" w:rsidRPr="00530CE5">
        <w:rPr>
          <w:sz w:val="18"/>
          <w:szCs w:val="18"/>
        </w:rPr>
        <w:t>50</w:t>
      </w:r>
      <w:r w:rsidRPr="00530CE5">
        <w:rPr>
          <w:sz w:val="18"/>
          <w:szCs w:val="18"/>
        </w:rPr>
        <w:t xml:space="preserve"> affordable home ownership dwellings.</w:t>
      </w:r>
    </w:p>
    <w:p w:rsidR="0081515D" w:rsidRPr="004C0B28" w:rsidRDefault="0081515D" w:rsidP="0081515D">
      <w:pPr>
        <w:pStyle w:val="Caption"/>
        <w:jc w:val="both"/>
        <w:rPr>
          <w:sz w:val="18"/>
          <w:szCs w:val="18"/>
        </w:rPr>
      </w:pPr>
      <w:bookmarkStart w:id="93" w:name="_Ref30088582"/>
      <w:r w:rsidRPr="004C0B28">
        <w:rPr>
          <w:sz w:val="18"/>
          <w:szCs w:val="18"/>
        </w:rPr>
        <w:t xml:space="preserve">Table </w:t>
      </w:r>
      <w:r w:rsidR="001A69AC" w:rsidRPr="004C0B28">
        <w:rPr>
          <w:sz w:val="18"/>
          <w:szCs w:val="18"/>
        </w:rPr>
        <w:fldChar w:fldCharType="begin"/>
      </w:r>
      <w:r w:rsidRPr="004C0B28">
        <w:rPr>
          <w:sz w:val="18"/>
          <w:szCs w:val="18"/>
        </w:rPr>
        <w:instrText xml:space="preserve"> STYLEREF 1 \s </w:instrText>
      </w:r>
      <w:r w:rsidR="001A69AC" w:rsidRPr="004C0B28">
        <w:rPr>
          <w:sz w:val="18"/>
          <w:szCs w:val="18"/>
        </w:rPr>
        <w:fldChar w:fldCharType="separate"/>
      </w:r>
      <w:r w:rsidRPr="004C0B28">
        <w:rPr>
          <w:noProof/>
          <w:sz w:val="18"/>
          <w:szCs w:val="18"/>
        </w:rPr>
        <w:t>4</w:t>
      </w:r>
      <w:r w:rsidR="001A69AC" w:rsidRPr="004C0B28">
        <w:rPr>
          <w:sz w:val="18"/>
          <w:szCs w:val="18"/>
        </w:rPr>
        <w:fldChar w:fldCharType="end"/>
      </w:r>
      <w:r w:rsidRPr="004C0B28">
        <w:rPr>
          <w:sz w:val="18"/>
          <w:szCs w:val="18"/>
        </w:rPr>
        <w:noBreakHyphen/>
      </w:r>
      <w:r w:rsidR="001A69AC" w:rsidRPr="004C0B28">
        <w:rPr>
          <w:sz w:val="18"/>
          <w:szCs w:val="18"/>
        </w:rPr>
        <w:fldChar w:fldCharType="begin"/>
      </w:r>
      <w:r w:rsidRPr="004C0B28">
        <w:rPr>
          <w:sz w:val="18"/>
          <w:szCs w:val="18"/>
        </w:rPr>
        <w:instrText xml:space="preserve"> SEQ Table \* ARABIC \s 1 </w:instrText>
      </w:r>
      <w:r w:rsidR="001A69AC" w:rsidRPr="004C0B28">
        <w:rPr>
          <w:sz w:val="18"/>
          <w:szCs w:val="18"/>
        </w:rPr>
        <w:fldChar w:fldCharType="separate"/>
      </w:r>
      <w:r w:rsidRPr="004C0B28">
        <w:rPr>
          <w:noProof/>
          <w:sz w:val="18"/>
          <w:szCs w:val="18"/>
        </w:rPr>
        <w:t>5</w:t>
      </w:r>
      <w:r w:rsidR="001A69AC" w:rsidRPr="004C0B28">
        <w:rPr>
          <w:sz w:val="18"/>
          <w:szCs w:val="18"/>
        </w:rPr>
        <w:fldChar w:fldCharType="end"/>
      </w:r>
      <w:bookmarkEnd w:id="93"/>
      <w:r w:rsidRPr="004C0B28">
        <w:rPr>
          <w:sz w:val="18"/>
          <w:szCs w:val="18"/>
        </w:rPr>
        <w:t xml:space="preserve"> : Estimate of the need for affordable home ownership housing, </w:t>
      </w:r>
      <w:r w:rsidR="004C0B28" w:rsidRPr="004C0B28">
        <w:rPr>
          <w:sz w:val="18"/>
          <w:szCs w:val="18"/>
        </w:rPr>
        <w:t>Reedham</w:t>
      </w:r>
      <w:r w:rsidR="003C0774">
        <w:rPr>
          <w:sz w:val="18"/>
          <w:szCs w:val="18"/>
        </w:rPr>
        <w:t xml:space="preserve"> – </w:t>
      </w:r>
      <w:r w:rsidR="003C0774" w:rsidRPr="00530CE5">
        <w:rPr>
          <w:sz w:val="18"/>
          <w:szCs w:val="18"/>
        </w:rPr>
        <w:t>needs double checking</w:t>
      </w:r>
    </w:p>
    <w:tbl>
      <w:tblPr>
        <w:tblW w:w="9497" w:type="dxa"/>
        <w:tblInd w:w="421" w:type="dxa"/>
        <w:tblLook w:val="04A0"/>
      </w:tblPr>
      <w:tblGrid>
        <w:gridCol w:w="3305"/>
        <w:gridCol w:w="784"/>
        <w:gridCol w:w="5408"/>
      </w:tblGrid>
      <w:tr w:rsidR="0081515D" w:rsidRPr="004C0B28" w:rsidTr="002C07F9">
        <w:trPr>
          <w:trHeight w:val="285"/>
        </w:trPr>
        <w:tc>
          <w:tcPr>
            <w:tcW w:w="3305" w:type="dxa"/>
            <w:tcBorders>
              <w:top w:val="single" w:sz="4" w:space="0" w:color="auto"/>
              <w:left w:val="single" w:sz="4" w:space="0" w:color="auto"/>
              <w:bottom w:val="single" w:sz="4" w:space="0" w:color="auto"/>
              <w:right w:val="single" w:sz="4" w:space="0" w:color="auto"/>
            </w:tcBorders>
            <w:shd w:val="clear" w:color="auto" w:fill="000000" w:themeFill="text1"/>
            <w:noWrap/>
            <w:hideMark/>
          </w:tcPr>
          <w:p w:rsidR="0081515D" w:rsidRPr="004C0B28" w:rsidRDefault="0081515D" w:rsidP="002C07F9">
            <w:pPr>
              <w:spacing w:before="0" w:after="0" w:line="240" w:lineRule="auto"/>
              <w:rPr>
                <w:b/>
                <w:bCs/>
                <w:color w:val="FFFFFF" w:themeColor="background1"/>
                <w:sz w:val="18"/>
                <w:szCs w:val="18"/>
              </w:rPr>
            </w:pPr>
            <w:r w:rsidRPr="004C0B28">
              <w:rPr>
                <w:b/>
                <w:color w:val="FFFFFF" w:themeColor="background1"/>
                <w:sz w:val="18"/>
                <w:szCs w:val="18"/>
              </w:rPr>
              <w:t>Stage and Step in Calculation</w:t>
            </w:r>
          </w:p>
        </w:tc>
        <w:tc>
          <w:tcPr>
            <w:tcW w:w="784" w:type="dxa"/>
            <w:tcBorders>
              <w:top w:val="single" w:sz="4" w:space="0" w:color="auto"/>
              <w:left w:val="nil"/>
              <w:bottom w:val="single" w:sz="4" w:space="0" w:color="auto"/>
              <w:right w:val="single" w:sz="4" w:space="0" w:color="auto"/>
            </w:tcBorders>
            <w:shd w:val="clear" w:color="auto" w:fill="000000" w:themeFill="text1"/>
            <w:noWrap/>
            <w:hideMark/>
          </w:tcPr>
          <w:p w:rsidR="0081515D" w:rsidRPr="004C0B28" w:rsidRDefault="0081515D" w:rsidP="002C07F9">
            <w:pPr>
              <w:spacing w:before="0" w:after="0" w:line="240" w:lineRule="auto"/>
              <w:rPr>
                <w:b/>
                <w:bCs/>
                <w:color w:val="FFFFFF" w:themeColor="background1"/>
                <w:sz w:val="18"/>
                <w:szCs w:val="18"/>
              </w:rPr>
            </w:pPr>
            <w:r w:rsidRPr="004C0B28">
              <w:rPr>
                <w:b/>
                <w:color w:val="FFFFFF" w:themeColor="background1"/>
                <w:sz w:val="18"/>
                <w:szCs w:val="18"/>
              </w:rPr>
              <w:t>Total</w:t>
            </w:r>
          </w:p>
        </w:tc>
        <w:tc>
          <w:tcPr>
            <w:tcW w:w="5408" w:type="dxa"/>
            <w:tcBorders>
              <w:top w:val="single" w:sz="4" w:space="0" w:color="auto"/>
              <w:left w:val="nil"/>
              <w:bottom w:val="single" w:sz="4" w:space="0" w:color="auto"/>
              <w:right w:val="single" w:sz="4" w:space="0" w:color="auto"/>
            </w:tcBorders>
            <w:shd w:val="clear" w:color="auto" w:fill="000000" w:themeFill="text1"/>
            <w:noWrap/>
            <w:hideMark/>
          </w:tcPr>
          <w:p w:rsidR="0081515D" w:rsidRPr="004C0B28" w:rsidRDefault="0081515D" w:rsidP="002C07F9">
            <w:pPr>
              <w:spacing w:before="0" w:after="0" w:line="240" w:lineRule="auto"/>
              <w:rPr>
                <w:b/>
                <w:bCs/>
                <w:color w:val="FFFFFF" w:themeColor="background1"/>
                <w:sz w:val="18"/>
                <w:szCs w:val="18"/>
              </w:rPr>
            </w:pPr>
            <w:r w:rsidRPr="004C0B28">
              <w:rPr>
                <w:b/>
                <w:color w:val="FFFFFF" w:themeColor="background1"/>
                <w:sz w:val="18"/>
                <w:szCs w:val="18"/>
              </w:rPr>
              <w:t>Description</w:t>
            </w:r>
          </w:p>
        </w:tc>
      </w:tr>
      <w:tr w:rsidR="0081515D" w:rsidRPr="004C0B28" w:rsidTr="002C07F9">
        <w:trPr>
          <w:trHeight w:val="285"/>
        </w:trPr>
        <w:tc>
          <w:tcPr>
            <w:tcW w:w="9497" w:type="dxa"/>
            <w:gridSpan w:val="3"/>
            <w:tcBorders>
              <w:top w:val="single" w:sz="4" w:space="0" w:color="auto"/>
              <w:left w:val="single" w:sz="4" w:space="0" w:color="auto"/>
              <w:bottom w:val="single" w:sz="4" w:space="0" w:color="auto"/>
              <w:right w:val="single" w:sz="4" w:space="0" w:color="auto"/>
            </w:tcBorders>
            <w:shd w:val="clear" w:color="000000" w:fill="FFFFFF"/>
            <w:noWrap/>
            <w:hideMark/>
          </w:tcPr>
          <w:p w:rsidR="0081515D" w:rsidRPr="004C0B28" w:rsidRDefault="0081515D" w:rsidP="002C07F9">
            <w:pPr>
              <w:spacing w:before="0" w:after="0" w:line="240" w:lineRule="auto"/>
              <w:rPr>
                <w:b/>
                <w:bCs/>
                <w:sz w:val="18"/>
                <w:szCs w:val="18"/>
              </w:rPr>
            </w:pPr>
            <w:r w:rsidRPr="004C0B28">
              <w:rPr>
                <w:sz w:val="18"/>
                <w:szCs w:val="18"/>
              </w:rPr>
              <w:t>STAGE 1: CURRENT NEED</w:t>
            </w:r>
          </w:p>
        </w:tc>
      </w:tr>
      <w:tr w:rsidR="0081515D" w:rsidRPr="004C0B28" w:rsidTr="00A71BF3">
        <w:trPr>
          <w:trHeight w:val="285"/>
        </w:trPr>
        <w:tc>
          <w:tcPr>
            <w:tcW w:w="3305" w:type="dxa"/>
            <w:tcBorders>
              <w:top w:val="nil"/>
              <w:left w:val="single" w:sz="4" w:space="0" w:color="auto"/>
              <w:bottom w:val="single" w:sz="4" w:space="0" w:color="auto"/>
              <w:right w:val="single" w:sz="4" w:space="0" w:color="auto"/>
            </w:tcBorders>
            <w:shd w:val="clear" w:color="000000" w:fill="FFFFFF"/>
            <w:noWrap/>
            <w:hideMark/>
          </w:tcPr>
          <w:p w:rsidR="0081515D" w:rsidRPr="004C0B28" w:rsidRDefault="0081515D" w:rsidP="002C07F9">
            <w:pPr>
              <w:spacing w:before="0" w:after="0" w:line="240" w:lineRule="auto"/>
              <w:rPr>
                <w:sz w:val="18"/>
                <w:szCs w:val="18"/>
              </w:rPr>
            </w:pPr>
            <w:r w:rsidRPr="004C0B28">
              <w:rPr>
                <w:sz w:val="18"/>
                <w:szCs w:val="18"/>
              </w:rPr>
              <w:t>1.1 Current number of renters in NA</w:t>
            </w:r>
          </w:p>
        </w:tc>
        <w:tc>
          <w:tcPr>
            <w:tcW w:w="784" w:type="dxa"/>
            <w:tcBorders>
              <w:top w:val="nil"/>
              <w:left w:val="nil"/>
              <w:bottom w:val="single" w:sz="4" w:space="0" w:color="auto"/>
              <w:right w:val="single" w:sz="4" w:space="0" w:color="auto"/>
            </w:tcBorders>
            <w:shd w:val="clear" w:color="000000" w:fill="E7E6E6"/>
            <w:noWrap/>
            <w:hideMark/>
          </w:tcPr>
          <w:p w:rsidR="0081515D" w:rsidRPr="004C0B28" w:rsidRDefault="004C0B28" w:rsidP="00A71BF3">
            <w:pPr>
              <w:spacing w:before="0" w:after="0" w:line="240" w:lineRule="auto"/>
              <w:jc w:val="center"/>
              <w:rPr>
                <w:sz w:val="18"/>
                <w:szCs w:val="18"/>
              </w:rPr>
            </w:pPr>
            <w:r w:rsidRPr="004C0B28">
              <w:rPr>
                <w:sz w:val="18"/>
                <w:szCs w:val="18"/>
              </w:rPr>
              <w:t>76.8</w:t>
            </w:r>
          </w:p>
        </w:tc>
        <w:tc>
          <w:tcPr>
            <w:tcW w:w="5408" w:type="dxa"/>
            <w:tcBorders>
              <w:top w:val="nil"/>
              <w:left w:val="nil"/>
              <w:bottom w:val="single" w:sz="4" w:space="0" w:color="auto"/>
              <w:right w:val="single" w:sz="4" w:space="0" w:color="auto"/>
            </w:tcBorders>
            <w:shd w:val="clear" w:color="000000" w:fill="FFFFFF"/>
            <w:noWrap/>
            <w:hideMark/>
          </w:tcPr>
          <w:p w:rsidR="0081515D" w:rsidRPr="004C0B28" w:rsidRDefault="0081515D" w:rsidP="002C07F9">
            <w:pPr>
              <w:spacing w:before="0" w:after="0" w:line="240" w:lineRule="auto"/>
              <w:rPr>
                <w:sz w:val="18"/>
                <w:szCs w:val="18"/>
              </w:rPr>
            </w:pPr>
            <w:r w:rsidRPr="004C0B28">
              <w:rPr>
                <w:sz w:val="18"/>
                <w:szCs w:val="18"/>
              </w:rPr>
              <w:t>Census 2011 number of renters x national % increase to 2018</w:t>
            </w:r>
          </w:p>
        </w:tc>
      </w:tr>
      <w:tr w:rsidR="0081515D" w:rsidRPr="0081515D" w:rsidTr="00A71BF3">
        <w:trPr>
          <w:trHeight w:val="285"/>
        </w:trPr>
        <w:tc>
          <w:tcPr>
            <w:tcW w:w="3305" w:type="dxa"/>
            <w:tcBorders>
              <w:top w:val="nil"/>
              <w:left w:val="single" w:sz="4" w:space="0" w:color="auto"/>
              <w:bottom w:val="single" w:sz="4" w:space="0" w:color="auto"/>
              <w:right w:val="single" w:sz="4" w:space="0" w:color="auto"/>
            </w:tcBorders>
            <w:shd w:val="clear" w:color="000000" w:fill="FFFFFF"/>
            <w:noWrap/>
            <w:hideMark/>
          </w:tcPr>
          <w:p w:rsidR="0081515D" w:rsidRPr="004C0B28" w:rsidRDefault="0081515D" w:rsidP="002C07F9">
            <w:pPr>
              <w:spacing w:before="0" w:after="0" w:line="240" w:lineRule="auto"/>
              <w:rPr>
                <w:sz w:val="18"/>
                <w:szCs w:val="18"/>
              </w:rPr>
            </w:pPr>
            <w:r w:rsidRPr="004C0B28">
              <w:rPr>
                <w:sz w:val="18"/>
                <w:szCs w:val="18"/>
              </w:rPr>
              <w:t>1.2 Percentage renters on housing benefit in LA</w:t>
            </w:r>
          </w:p>
        </w:tc>
        <w:tc>
          <w:tcPr>
            <w:tcW w:w="784" w:type="dxa"/>
            <w:tcBorders>
              <w:top w:val="nil"/>
              <w:left w:val="nil"/>
              <w:bottom w:val="single" w:sz="4" w:space="0" w:color="auto"/>
              <w:right w:val="single" w:sz="4" w:space="0" w:color="auto"/>
            </w:tcBorders>
            <w:shd w:val="clear" w:color="000000" w:fill="E7E6E6"/>
            <w:noWrap/>
            <w:hideMark/>
          </w:tcPr>
          <w:p w:rsidR="0081515D" w:rsidRPr="004C0B28" w:rsidRDefault="004C0B28" w:rsidP="00A71BF3">
            <w:pPr>
              <w:spacing w:before="0" w:after="0" w:line="240" w:lineRule="auto"/>
              <w:jc w:val="center"/>
              <w:rPr>
                <w:sz w:val="18"/>
                <w:szCs w:val="18"/>
              </w:rPr>
            </w:pPr>
            <w:r w:rsidRPr="004C0B28">
              <w:rPr>
                <w:sz w:val="18"/>
                <w:szCs w:val="18"/>
              </w:rPr>
              <w:t>18.9%</w:t>
            </w:r>
          </w:p>
        </w:tc>
        <w:tc>
          <w:tcPr>
            <w:tcW w:w="5408" w:type="dxa"/>
            <w:tcBorders>
              <w:top w:val="nil"/>
              <w:left w:val="nil"/>
              <w:bottom w:val="single" w:sz="4" w:space="0" w:color="auto"/>
              <w:right w:val="single" w:sz="4" w:space="0" w:color="auto"/>
            </w:tcBorders>
            <w:shd w:val="clear" w:color="000000" w:fill="FFFFFF"/>
            <w:noWrap/>
            <w:hideMark/>
          </w:tcPr>
          <w:p w:rsidR="0081515D" w:rsidRPr="004C0B28" w:rsidRDefault="0081515D" w:rsidP="002C07F9">
            <w:pPr>
              <w:spacing w:before="0" w:after="0" w:line="240" w:lineRule="auto"/>
              <w:rPr>
                <w:sz w:val="18"/>
                <w:szCs w:val="18"/>
              </w:rPr>
            </w:pPr>
            <w:r w:rsidRPr="004C0B28">
              <w:rPr>
                <w:sz w:val="18"/>
                <w:szCs w:val="18"/>
              </w:rPr>
              <w:t>% of renters in 2018 on housing benefit (based on LA proportion)</w:t>
            </w:r>
          </w:p>
        </w:tc>
      </w:tr>
      <w:tr w:rsidR="0081515D" w:rsidRPr="0081515D" w:rsidTr="00A71BF3">
        <w:trPr>
          <w:trHeight w:val="285"/>
        </w:trPr>
        <w:tc>
          <w:tcPr>
            <w:tcW w:w="3305" w:type="dxa"/>
            <w:tcBorders>
              <w:top w:val="nil"/>
              <w:left w:val="single" w:sz="4" w:space="0" w:color="auto"/>
              <w:bottom w:val="single" w:sz="4" w:space="0" w:color="auto"/>
              <w:right w:val="single" w:sz="4" w:space="0" w:color="auto"/>
            </w:tcBorders>
            <w:shd w:val="clear" w:color="000000" w:fill="FFFFFF"/>
            <w:noWrap/>
            <w:hideMark/>
          </w:tcPr>
          <w:p w:rsidR="0081515D" w:rsidRPr="004C0B28" w:rsidRDefault="0081515D" w:rsidP="002C07F9">
            <w:pPr>
              <w:spacing w:before="0" w:after="0" w:line="240" w:lineRule="auto"/>
              <w:rPr>
                <w:sz w:val="18"/>
                <w:szCs w:val="18"/>
              </w:rPr>
            </w:pPr>
            <w:r w:rsidRPr="004C0B28">
              <w:rPr>
                <w:sz w:val="18"/>
                <w:szCs w:val="18"/>
              </w:rPr>
              <w:t>1.3 Number of renters on housing benefits in NA</w:t>
            </w:r>
          </w:p>
        </w:tc>
        <w:tc>
          <w:tcPr>
            <w:tcW w:w="784" w:type="dxa"/>
            <w:tcBorders>
              <w:top w:val="nil"/>
              <w:left w:val="nil"/>
              <w:bottom w:val="single" w:sz="4" w:space="0" w:color="auto"/>
              <w:right w:val="single" w:sz="4" w:space="0" w:color="auto"/>
            </w:tcBorders>
            <w:shd w:val="clear" w:color="000000" w:fill="E7E6E6"/>
            <w:noWrap/>
            <w:hideMark/>
          </w:tcPr>
          <w:p w:rsidR="0081515D" w:rsidRPr="004C0B28" w:rsidRDefault="004C0B28" w:rsidP="00A71BF3">
            <w:pPr>
              <w:spacing w:before="0" w:after="0" w:line="240" w:lineRule="auto"/>
              <w:jc w:val="center"/>
              <w:rPr>
                <w:sz w:val="18"/>
                <w:szCs w:val="18"/>
              </w:rPr>
            </w:pPr>
            <w:r w:rsidRPr="004C0B28">
              <w:rPr>
                <w:sz w:val="18"/>
                <w:szCs w:val="18"/>
              </w:rPr>
              <w:t>14.5</w:t>
            </w:r>
          </w:p>
        </w:tc>
        <w:tc>
          <w:tcPr>
            <w:tcW w:w="5408" w:type="dxa"/>
            <w:tcBorders>
              <w:top w:val="nil"/>
              <w:left w:val="nil"/>
              <w:bottom w:val="single" w:sz="4" w:space="0" w:color="auto"/>
              <w:right w:val="single" w:sz="4" w:space="0" w:color="auto"/>
            </w:tcBorders>
            <w:shd w:val="clear" w:color="000000" w:fill="FFFFFF"/>
            <w:noWrap/>
            <w:hideMark/>
          </w:tcPr>
          <w:p w:rsidR="0081515D" w:rsidRPr="004C0B28" w:rsidRDefault="0081515D" w:rsidP="002C07F9">
            <w:pPr>
              <w:spacing w:before="0" w:after="0" w:line="240" w:lineRule="auto"/>
              <w:rPr>
                <w:sz w:val="18"/>
                <w:szCs w:val="18"/>
              </w:rPr>
            </w:pPr>
            <w:r w:rsidRPr="004C0B28">
              <w:rPr>
                <w:sz w:val="18"/>
                <w:szCs w:val="18"/>
              </w:rPr>
              <w:t>1.1 x 1.2</w:t>
            </w:r>
          </w:p>
        </w:tc>
      </w:tr>
      <w:tr w:rsidR="0081515D" w:rsidRPr="0081515D" w:rsidTr="00A71BF3">
        <w:trPr>
          <w:trHeight w:val="285"/>
        </w:trPr>
        <w:tc>
          <w:tcPr>
            <w:tcW w:w="3305" w:type="dxa"/>
            <w:tcBorders>
              <w:top w:val="nil"/>
              <w:left w:val="single" w:sz="4" w:space="0" w:color="auto"/>
              <w:bottom w:val="single" w:sz="4" w:space="0" w:color="auto"/>
              <w:right w:val="single" w:sz="4" w:space="0" w:color="auto"/>
            </w:tcBorders>
            <w:shd w:val="clear" w:color="000000" w:fill="FFFFFF"/>
            <w:noWrap/>
            <w:hideMark/>
          </w:tcPr>
          <w:p w:rsidR="0081515D" w:rsidRPr="004C0B28" w:rsidRDefault="0081515D" w:rsidP="002C07F9">
            <w:pPr>
              <w:spacing w:before="0" w:after="0" w:line="240" w:lineRule="auto"/>
              <w:rPr>
                <w:sz w:val="18"/>
                <w:szCs w:val="18"/>
              </w:rPr>
            </w:pPr>
            <w:r w:rsidRPr="004C0B28">
              <w:rPr>
                <w:sz w:val="18"/>
                <w:szCs w:val="18"/>
              </w:rPr>
              <w:t>1.4 Current need (households)</w:t>
            </w:r>
          </w:p>
        </w:tc>
        <w:tc>
          <w:tcPr>
            <w:tcW w:w="784" w:type="dxa"/>
            <w:tcBorders>
              <w:top w:val="nil"/>
              <w:left w:val="nil"/>
              <w:bottom w:val="single" w:sz="4" w:space="0" w:color="auto"/>
              <w:right w:val="single" w:sz="4" w:space="0" w:color="auto"/>
            </w:tcBorders>
            <w:shd w:val="clear" w:color="000000" w:fill="E7E6E6"/>
            <w:noWrap/>
            <w:hideMark/>
          </w:tcPr>
          <w:p w:rsidR="0081515D" w:rsidRPr="004C0B28" w:rsidRDefault="0081515D" w:rsidP="00A71BF3">
            <w:pPr>
              <w:spacing w:before="0" w:after="0" w:line="240" w:lineRule="auto"/>
              <w:jc w:val="center"/>
              <w:rPr>
                <w:sz w:val="18"/>
                <w:szCs w:val="18"/>
              </w:rPr>
            </w:pPr>
            <w:r w:rsidRPr="004C0B28">
              <w:rPr>
                <w:sz w:val="18"/>
                <w:szCs w:val="18"/>
              </w:rPr>
              <w:t>4</w:t>
            </w:r>
            <w:r w:rsidR="004C0B28" w:rsidRPr="004C0B28">
              <w:rPr>
                <w:sz w:val="18"/>
                <w:szCs w:val="18"/>
              </w:rPr>
              <w:t>6.7</w:t>
            </w:r>
          </w:p>
        </w:tc>
        <w:tc>
          <w:tcPr>
            <w:tcW w:w="5408" w:type="dxa"/>
            <w:tcBorders>
              <w:top w:val="nil"/>
              <w:left w:val="nil"/>
              <w:bottom w:val="single" w:sz="4" w:space="0" w:color="auto"/>
              <w:right w:val="single" w:sz="4" w:space="0" w:color="auto"/>
            </w:tcBorders>
            <w:shd w:val="clear" w:color="000000" w:fill="FFFFFF"/>
            <w:noWrap/>
            <w:hideMark/>
          </w:tcPr>
          <w:p w:rsidR="0081515D" w:rsidRPr="004C0B28" w:rsidRDefault="0081515D" w:rsidP="002C07F9">
            <w:pPr>
              <w:spacing w:before="0" w:after="0" w:line="240" w:lineRule="auto"/>
              <w:rPr>
                <w:sz w:val="18"/>
                <w:szCs w:val="18"/>
              </w:rPr>
            </w:pPr>
            <w:r w:rsidRPr="004C0B28">
              <w:rPr>
                <w:sz w:val="18"/>
                <w:szCs w:val="18"/>
              </w:rPr>
              <w:t>Current renters minus those on HB and minus 25% assumed to rent by choice</w:t>
            </w:r>
          </w:p>
        </w:tc>
      </w:tr>
      <w:tr w:rsidR="0081515D" w:rsidRPr="0081515D" w:rsidTr="00A71BF3">
        <w:trPr>
          <w:trHeight w:val="285"/>
        </w:trPr>
        <w:tc>
          <w:tcPr>
            <w:tcW w:w="3305" w:type="dxa"/>
            <w:tcBorders>
              <w:top w:val="nil"/>
              <w:left w:val="single" w:sz="4" w:space="0" w:color="auto"/>
              <w:bottom w:val="single" w:sz="4" w:space="0" w:color="auto"/>
              <w:right w:val="single" w:sz="4" w:space="0" w:color="auto"/>
            </w:tcBorders>
            <w:shd w:val="clear" w:color="000000" w:fill="FFFFFF"/>
            <w:noWrap/>
            <w:hideMark/>
          </w:tcPr>
          <w:p w:rsidR="0081515D" w:rsidRPr="004C0B28" w:rsidRDefault="0081515D" w:rsidP="002C07F9">
            <w:pPr>
              <w:spacing w:before="0" w:after="0" w:line="240" w:lineRule="auto"/>
              <w:rPr>
                <w:sz w:val="18"/>
                <w:szCs w:val="18"/>
              </w:rPr>
            </w:pPr>
            <w:r w:rsidRPr="004C0B28">
              <w:rPr>
                <w:sz w:val="18"/>
                <w:szCs w:val="18"/>
              </w:rPr>
              <w:t>1.5 Per annum</w:t>
            </w:r>
          </w:p>
        </w:tc>
        <w:tc>
          <w:tcPr>
            <w:tcW w:w="784" w:type="dxa"/>
            <w:tcBorders>
              <w:top w:val="nil"/>
              <w:left w:val="nil"/>
              <w:bottom w:val="single" w:sz="4" w:space="0" w:color="auto"/>
              <w:right w:val="single" w:sz="4" w:space="0" w:color="auto"/>
            </w:tcBorders>
            <w:shd w:val="clear" w:color="000000" w:fill="E7E6E6"/>
            <w:noWrap/>
            <w:hideMark/>
          </w:tcPr>
          <w:p w:rsidR="0081515D" w:rsidRPr="004C0B28" w:rsidRDefault="0081515D" w:rsidP="00A71BF3">
            <w:pPr>
              <w:spacing w:before="0" w:after="0" w:line="240" w:lineRule="auto"/>
              <w:jc w:val="center"/>
              <w:rPr>
                <w:b/>
                <w:bCs/>
                <w:sz w:val="18"/>
                <w:szCs w:val="18"/>
              </w:rPr>
            </w:pPr>
            <w:r w:rsidRPr="004C0B28">
              <w:rPr>
                <w:sz w:val="18"/>
                <w:szCs w:val="18"/>
              </w:rPr>
              <w:t>2.</w:t>
            </w:r>
            <w:r w:rsidR="004C0B28" w:rsidRPr="004C0B28">
              <w:rPr>
                <w:sz w:val="18"/>
                <w:szCs w:val="18"/>
              </w:rPr>
              <w:t>9</w:t>
            </w:r>
          </w:p>
        </w:tc>
        <w:tc>
          <w:tcPr>
            <w:tcW w:w="5408" w:type="dxa"/>
            <w:tcBorders>
              <w:top w:val="nil"/>
              <w:left w:val="nil"/>
              <w:bottom w:val="single" w:sz="4" w:space="0" w:color="auto"/>
              <w:right w:val="single" w:sz="4" w:space="0" w:color="auto"/>
            </w:tcBorders>
            <w:shd w:val="clear" w:color="000000" w:fill="FFFFFF"/>
            <w:noWrap/>
            <w:hideMark/>
          </w:tcPr>
          <w:p w:rsidR="0081515D" w:rsidRPr="004C0B28" w:rsidRDefault="0081515D" w:rsidP="002C07F9">
            <w:pPr>
              <w:spacing w:before="0" w:after="0" w:line="240" w:lineRule="auto"/>
              <w:rPr>
                <w:sz w:val="18"/>
                <w:szCs w:val="18"/>
              </w:rPr>
            </w:pPr>
            <w:r w:rsidRPr="004C0B28">
              <w:rPr>
                <w:sz w:val="18"/>
                <w:szCs w:val="18"/>
              </w:rPr>
              <w:t>1.4/ plan period</w:t>
            </w:r>
          </w:p>
        </w:tc>
      </w:tr>
      <w:tr w:rsidR="0081515D" w:rsidRPr="0081515D" w:rsidTr="002C07F9">
        <w:trPr>
          <w:trHeight w:val="285"/>
        </w:trPr>
        <w:tc>
          <w:tcPr>
            <w:tcW w:w="3305" w:type="dxa"/>
            <w:tcBorders>
              <w:top w:val="nil"/>
              <w:left w:val="single" w:sz="4" w:space="0" w:color="auto"/>
              <w:bottom w:val="single" w:sz="4" w:space="0" w:color="auto"/>
              <w:right w:val="single" w:sz="4" w:space="0" w:color="auto"/>
            </w:tcBorders>
            <w:shd w:val="clear" w:color="000000" w:fill="FFFFFF"/>
            <w:noWrap/>
            <w:hideMark/>
          </w:tcPr>
          <w:p w:rsidR="0081515D" w:rsidRPr="004C0B28" w:rsidRDefault="0081515D" w:rsidP="002C07F9">
            <w:pPr>
              <w:spacing w:before="0" w:after="0" w:line="240" w:lineRule="auto"/>
              <w:rPr>
                <w:b/>
                <w:bCs/>
                <w:sz w:val="18"/>
                <w:szCs w:val="18"/>
              </w:rPr>
            </w:pPr>
            <w:r w:rsidRPr="004C0B28">
              <w:rPr>
                <w:sz w:val="18"/>
                <w:szCs w:val="18"/>
              </w:rPr>
              <w:t>STAGE 2: NEWLY ARISING NEED</w:t>
            </w:r>
          </w:p>
        </w:tc>
        <w:tc>
          <w:tcPr>
            <w:tcW w:w="784" w:type="dxa"/>
            <w:tcBorders>
              <w:top w:val="nil"/>
              <w:left w:val="nil"/>
              <w:bottom w:val="single" w:sz="4" w:space="0" w:color="auto"/>
              <w:right w:val="single" w:sz="4" w:space="0" w:color="auto"/>
            </w:tcBorders>
            <w:shd w:val="clear" w:color="000000" w:fill="FFFFFF"/>
            <w:noWrap/>
            <w:hideMark/>
          </w:tcPr>
          <w:p w:rsidR="0081515D" w:rsidRPr="004C0B28" w:rsidRDefault="0081515D" w:rsidP="002C07F9">
            <w:pPr>
              <w:spacing w:before="0" w:after="0" w:line="240" w:lineRule="auto"/>
              <w:rPr>
                <w:b/>
                <w:bCs/>
                <w:sz w:val="18"/>
                <w:szCs w:val="18"/>
              </w:rPr>
            </w:pPr>
          </w:p>
        </w:tc>
        <w:tc>
          <w:tcPr>
            <w:tcW w:w="5408" w:type="dxa"/>
            <w:tcBorders>
              <w:top w:val="nil"/>
              <w:left w:val="nil"/>
              <w:bottom w:val="single" w:sz="4" w:space="0" w:color="auto"/>
              <w:right w:val="single" w:sz="4" w:space="0" w:color="auto"/>
            </w:tcBorders>
            <w:shd w:val="clear" w:color="000000" w:fill="FFFFFF"/>
            <w:noWrap/>
            <w:hideMark/>
          </w:tcPr>
          <w:p w:rsidR="0081515D" w:rsidRPr="004C0B28" w:rsidRDefault="0081515D" w:rsidP="002C07F9">
            <w:pPr>
              <w:spacing w:before="0" w:after="0" w:line="240" w:lineRule="auto"/>
              <w:rPr>
                <w:b/>
                <w:bCs/>
                <w:sz w:val="18"/>
                <w:szCs w:val="18"/>
              </w:rPr>
            </w:pPr>
          </w:p>
        </w:tc>
      </w:tr>
      <w:tr w:rsidR="0081515D" w:rsidRPr="0081515D" w:rsidTr="00A71BF3">
        <w:trPr>
          <w:trHeight w:val="285"/>
        </w:trPr>
        <w:tc>
          <w:tcPr>
            <w:tcW w:w="3305" w:type="dxa"/>
            <w:tcBorders>
              <w:top w:val="nil"/>
              <w:left w:val="single" w:sz="4" w:space="0" w:color="auto"/>
              <w:bottom w:val="single" w:sz="4" w:space="0" w:color="auto"/>
              <w:right w:val="single" w:sz="4" w:space="0" w:color="auto"/>
            </w:tcBorders>
            <w:shd w:val="clear" w:color="000000" w:fill="FFFFFF"/>
            <w:noWrap/>
            <w:hideMark/>
          </w:tcPr>
          <w:p w:rsidR="0081515D" w:rsidRPr="004C0B28" w:rsidRDefault="0081515D" w:rsidP="002C07F9">
            <w:pPr>
              <w:spacing w:before="0" w:after="0" w:line="240" w:lineRule="auto"/>
              <w:rPr>
                <w:sz w:val="18"/>
                <w:szCs w:val="18"/>
              </w:rPr>
            </w:pPr>
            <w:r w:rsidRPr="004C0B28">
              <w:rPr>
                <w:sz w:val="18"/>
                <w:szCs w:val="18"/>
              </w:rPr>
              <w:t>2.1 New household formation</w:t>
            </w:r>
          </w:p>
        </w:tc>
        <w:tc>
          <w:tcPr>
            <w:tcW w:w="784" w:type="dxa"/>
            <w:tcBorders>
              <w:top w:val="nil"/>
              <w:left w:val="nil"/>
              <w:bottom w:val="single" w:sz="4" w:space="0" w:color="auto"/>
              <w:right w:val="single" w:sz="4" w:space="0" w:color="auto"/>
            </w:tcBorders>
            <w:shd w:val="clear" w:color="000000" w:fill="E7E6E6"/>
            <w:noWrap/>
            <w:hideMark/>
          </w:tcPr>
          <w:p w:rsidR="0081515D" w:rsidRPr="004C0B28" w:rsidRDefault="004C0B28" w:rsidP="00A71BF3">
            <w:pPr>
              <w:spacing w:before="0" w:after="0" w:line="240" w:lineRule="auto"/>
              <w:jc w:val="center"/>
              <w:rPr>
                <w:sz w:val="18"/>
                <w:szCs w:val="18"/>
              </w:rPr>
            </w:pPr>
            <w:r w:rsidRPr="004C0B28">
              <w:rPr>
                <w:sz w:val="18"/>
                <w:szCs w:val="18"/>
              </w:rPr>
              <w:t>64.6</w:t>
            </w:r>
          </w:p>
        </w:tc>
        <w:tc>
          <w:tcPr>
            <w:tcW w:w="5408" w:type="dxa"/>
            <w:tcBorders>
              <w:top w:val="nil"/>
              <w:left w:val="nil"/>
              <w:bottom w:val="single" w:sz="4" w:space="0" w:color="auto"/>
              <w:right w:val="single" w:sz="4" w:space="0" w:color="auto"/>
            </w:tcBorders>
            <w:shd w:val="clear" w:color="000000" w:fill="FFFFFF"/>
            <w:noWrap/>
            <w:hideMark/>
          </w:tcPr>
          <w:p w:rsidR="0081515D" w:rsidRPr="004C0B28" w:rsidRDefault="0081515D" w:rsidP="002C07F9">
            <w:pPr>
              <w:spacing w:before="0" w:after="0" w:line="240" w:lineRule="auto"/>
              <w:rPr>
                <w:sz w:val="18"/>
                <w:szCs w:val="18"/>
              </w:rPr>
            </w:pPr>
            <w:r w:rsidRPr="004C0B28">
              <w:rPr>
                <w:sz w:val="18"/>
                <w:szCs w:val="18"/>
              </w:rPr>
              <w:t xml:space="preserve">LA household projections for plan period (2014 based) </w:t>
            </w:r>
            <w:proofErr w:type="spellStart"/>
            <w:r w:rsidRPr="004C0B28">
              <w:rPr>
                <w:sz w:val="18"/>
                <w:szCs w:val="18"/>
              </w:rPr>
              <w:t>pro rated</w:t>
            </w:r>
            <w:proofErr w:type="spellEnd"/>
            <w:r w:rsidRPr="004C0B28">
              <w:rPr>
                <w:sz w:val="18"/>
                <w:szCs w:val="18"/>
              </w:rPr>
              <w:t xml:space="preserve"> to NA</w:t>
            </w:r>
          </w:p>
        </w:tc>
      </w:tr>
      <w:tr w:rsidR="0081515D" w:rsidRPr="0081515D" w:rsidTr="00A71BF3">
        <w:trPr>
          <w:trHeight w:val="285"/>
        </w:trPr>
        <w:tc>
          <w:tcPr>
            <w:tcW w:w="3305" w:type="dxa"/>
            <w:tcBorders>
              <w:top w:val="nil"/>
              <w:left w:val="single" w:sz="4" w:space="0" w:color="auto"/>
              <w:bottom w:val="single" w:sz="4" w:space="0" w:color="auto"/>
              <w:right w:val="single" w:sz="4" w:space="0" w:color="auto"/>
            </w:tcBorders>
            <w:shd w:val="clear" w:color="000000" w:fill="FFFFFF"/>
            <w:noWrap/>
            <w:hideMark/>
          </w:tcPr>
          <w:p w:rsidR="0081515D" w:rsidRPr="004C0B28" w:rsidRDefault="0081515D" w:rsidP="002C07F9">
            <w:pPr>
              <w:spacing w:before="0" w:after="0" w:line="240" w:lineRule="auto"/>
              <w:rPr>
                <w:sz w:val="18"/>
                <w:szCs w:val="18"/>
              </w:rPr>
            </w:pPr>
            <w:r w:rsidRPr="004C0B28">
              <w:rPr>
                <w:sz w:val="18"/>
                <w:szCs w:val="18"/>
              </w:rPr>
              <w:t>2.2 % of households unable to buy but able to rent</w:t>
            </w:r>
          </w:p>
        </w:tc>
        <w:tc>
          <w:tcPr>
            <w:tcW w:w="784" w:type="dxa"/>
            <w:tcBorders>
              <w:top w:val="nil"/>
              <w:left w:val="nil"/>
              <w:bottom w:val="single" w:sz="4" w:space="0" w:color="auto"/>
              <w:right w:val="single" w:sz="4" w:space="0" w:color="auto"/>
            </w:tcBorders>
            <w:shd w:val="clear" w:color="000000" w:fill="E7E6E6"/>
            <w:noWrap/>
            <w:hideMark/>
          </w:tcPr>
          <w:p w:rsidR="0081515D" w:rsidRPr="004C0B28" w:rsidRDefault="004C0B28" w:rsidP="00A71BF3">
            <w:pPr>
              <w:spacing w:before="0" w:after="0" w:line="240" w:lineRule="auto"/>
              <w:jc w:val="center"/>
              <w:rPr>
                <w:sz w:val="18"/>
                <w:szCs w:val="18"/>
              </w:rPr>
            </w:pPr>
            <w:r w:rsidRPr="004C0B28">
              <w:rPr>
                <w:sz w:val="18"/>
                <w:szCs w:val="18"/>
              </w:rPr>
              <w:t>10.1%</w:t>
            </w:r>
          </w:p>
        </w:tc>
        <w:tc>
          <w:tcPr>
            <w:tcW w:w="5408" w:type="dxa"/>
            <w:tcBorders>
              <w:top w:val="nil"/>
              <w:left w:val="nil"/>
              <w:bottom w:val="single" w:sz="4" w:space="0" w:color="auto"/>
              <w:right w:val="single" w:sz="4" w:space="0" w:color="auto"/>
            </w:tcBorders>
            <w:shd w:val="clear" w:color="000000" w:fill="FFFFFF"/>
            <w:noWrap/>
            <w:hideMark/>
          </w:tcPr>
          <w:p w:rsidR="0081515D" w:rsidRPr="004C0B28" w:rsidRDefault="0081515D" w:rsidP="002C07F9">
            <w:pPr>
              <w:spacing w:before="0" w:after="0" w:line="240" w:lineRule="auto"/>
              <w:rPr>
                <w:sz w:val="18"/>
                <w:szCs w:val="18"/>
              </w:rPr>
            </w:pPr>
            <w:r w:rsidRPr="004C0B28">
              <w:rPr>
                <w:sz w:val="18"/>
                <w:szCs w:val="18"/>
              </w:rPr>
              <w:t>Current % of households in PRS</w:t>
            </w:r>
          </w:p>
        </w:tc>
      </w:tr>
      <w:tr w:rsidR="0081515D" w:rsidRPr="0081515D" w:rsidTr="00A71BF3">
        <w:trPr>
          <w:trHeight w:val="285"/>
        </w:trPr>
        <w:tc>
          <w:tcPr>
            <w:tcW w:w="3305" w:type="dxa"/>
            <w:tcBorders>
              <w:top w:val="nil"/>
              <w:left w:val="single" w:sz="4" w:space="0" w:color="auto"/>
              <w:bottom w:val="single" w:sz="4" w:space="0" w:color="auto"/>
              <w:right w:val="single" w:sz="4" w:space="0" w:color="auto"/>
            </w:tcBorders>
            <w:shd w:val="clear" w:color="000000" w:fill="FFFFFF"/>
            <w:noWrap/>
            <w:hideMark/>
          </w:tcPr>
          <w:p w:rsidR="0081515D" w:rsidRPr="004C0B28" w:rsidRDefault="0081515D" w:rsidP="002C07F9">
            <w:pPr>
              <w:spacing w:before="0" w:after="0" w:line="240" w:lineRule="auto"/>
              <w:rPr>
                <w:sz w:val="18"/>
                <w:szCs w:val="18"/>
              </w:rPr>
            </w:pPr>
            <w:r w:rsidRPr="004C0B28">
              <w:rPr>
                <w:sz w:val="18"/>
                <w:szCs w:val="18"/>
              </w:rPr>
              <w:t>2.3 Total newly arising need</w:t>
            </w:r>
          </w:p>
        </w:tc>
        <w:tc>
          <w:tcPr>
            <w:tcW w:w="784" w:type="dxa"/>
            <w:tcBorders>
              <w:top w:val="nil"/>
              <w:left w:val="nil"/>
              <w:bottom w:val="single" w:sz="4" w:space="0" w:color="auto"/>
              <w:right w:val="single" w:sz="4" w:space="0" w:color="auto"/>
            </w:tcBorders>
            <w:shd w:val="clear" w:color="000000" w:fill="E7E6E6"/>
            <w:noWrap/>
            <w:hideMark/>
          </w:tcPr>
          <w:p w:rsidR="0081515D" w:rsidRPr="004C0B28" w:rsidRDefault="004C0B28" w:rsidP="00A71BF3">
            <w:pPr>
              <w:spacing w:before="0" w:after="0" w:line="240" w:lineRule="auto"/>
              <w:jc w:val="center"/>
              <w:rPr>
                <w:sz w:val="18"/>
                <w:szCs w:val="18"/>
              </w:rPr>
            </w:pPr>
            <w:r w:rsidRPr="004C0B28">
              <w:rPr>
                <w:sz w:val="18"/>
                <w:szCs w:val="18"/>
              </w:rPr>
              <w:t>6.5</w:t>
            </w:r>
          </w:p>
        </w:tc>
        <w:tc>
          <w:tcPr>
            <w:tcW w:w="5408" w:type="dxa"/>
            <w:tcBorders>
              <w:top w:val="nil"/>
              <w:left w:val="nil"/>
              <w:bottom w:val="single" w:sz="4" w:space="0" w:color="auto"/>
              <w:right w:val="single" w:sz="4" w:space="0" w:color="auto"/>
            </w:tcBorders>
            <w:shd w:val="clear" w:color="000000" w:fill="FFFFFF"/>
            <w:noWrap/>
            <w:hideMark/>
          </w:tcPr>
          <w:p w:rsidR="0081515D" w:rsidRPr="004C0B28" w:rsidRDefault="0081515D" w:rsidP="002C07F9">
            <w:pPr>
              <w:spacing w:before="0" w:after="0" w:line="240" w:lineRule="auto"/>
              <w:rPr>
                <w:sz w:val="18"/>
                <w:szCs w:val="18"/>
              </w:rPr>
            </w:pPr>
            <w:r w:rsidRPr="004C0B28">
              <w:rPr>
                <w:sz w:val="18"/>
                <w:szCs w:val="18"/>
              </w:rPr>
              <w:t>2.1 x 2.2</w:t>
            </w:r>
          </w:p>
        </w:tc>
      </w:tr>
      <w:tr w:rsidR="0081515D" w:rsidRPr="0081515D" w:rsidTr="00A71BF3">
        <w:trPr>
          <w:trHeight w:val="285"/>
        </w:trPr>
        <w:tc>
          <w:tcPr>
            <w:tcW w:w="3305" w:type="dxa"/>
            <w:tcBorders>
              <w:top w:val="nil"/>
              <w:left w:val="single" w:sz="4" w:space="0" w:color="auto"/>
              <w:bottom w:val="single" w:sz="4" w:space="0" w:color="auto"/>
              <w:right w:val="single" w:sz="4" w:space="0" w:color="auto"/>
            </w:tcBorders>
            <w:shd w:val="clear" w:color="000000" w:fill="FFFFFF"/>
            <w:noWrap/>
            <w:hideMark/>
          </w:tcPr>
          <w:p w:rsidR="0081515D" w:rsidRPr="004C0B28" w:rsidRDefault="0081515D" w:rsidP="002C07F9">
            <w:pPr>
              <w:spacing w:before="0" w:after="0" w:line="240" w:lineRule="auto"/>
              <w:rPr>
                <w:sz w:val="18"/>
                <w:szCs w:val="18"/>
              </w:rPr>
            </w:pPr>
            <w:r w:rsidRPr="004C0B28">
              <w:rPr>
                <w:sz w:val="18"/>
                <w:szCs w:val="18"/>
              </w:rPr>
              <w:t>2.4 Total newly arising need per annum</w:t>
            </w:r>
          </w:p>
        </w:tc>
        <w:tc>
          <w:tcPr>
            <w:tcW w:w="784" w:type="dxa"/>
            <w:tcBorders>
              <w:top w:val="nil"/>
              <w:left w:val="nil"/>
              <w:bottom w:val="single" w:sz="4" w:space="0" w:color="auto"/>
              <w:right w:val="single" w:sz="4" w:space="0" w:color="auto"/>
            </w:tcBorders>
            <w:shd w:val="clear" w:color="000000" w:fill="E7E6E6"/>
            <w:noWrap/>
            <w:hideMark/>
          </w:tcPr>
          <w:p w:rsidR="0081515D" w:rsidRPr="004C0B28" w:rsidRDefault="0081515D" w:rsidP="00A71BF3">
            <w:pPr>
              <w:spacing w:before="0" w:after="0" w:line="240" w:lineRule="auto"/>
              <w:jc w:val="center"/>
              <w:rPr>
                <w:b/>
                <w:bCs/>
                <w:sz w:val="18"/>
                <w:szCs w:val="18"/>
              </w:rPr>
            </w:pPr>
            <w:r w:rsidRPr="004C0B28">
              <w:rPr>
                <w:sz w:val="18"/>
                <w:szCs w:val="18"/>
              </w:rPr>
              <w:t>0.</w:t>
            </w:r>
            <w:r w:rsidR="004C0B28" w:rsidRPr="004C0B28">
              <w:rPr>
                <w:sz w:val="18"/>
                <w:szCs w:val="18"/>
              </w:rPr>
              <w:t>5</w:t>
            </w:r>
          </w:p>
        </w:tc>
        <w:tc>
          <w:tcPr>
            <w:tcW w:w="5408" w:type="dxa"/>
            <w:tcBorders>
              <w:top w:val="nil"/>
              <w:left w:val="nil"/>
              <w:bottom w:val="single" w:sz="4" w:space="0" w:color="auto"/>
              <w:right w:val="single" w:sz="4" w:space="0" w:color="auto"/>
            </w:tcBorders>
            <w:shd w:val="clear" w:color="000000" w:fill="FFFFFF"/>
            <w:noWrap/>
            <w:hideMark/>
          </w:tcPr>
          <w:p w:rsidR="0081515D" w:rsidRPr="004C0B28" w:rsidRDefault="0081515D" w:rsidP="002C07F9">
            <w:pPr>
              <w:spacing w:before="0" w:after="0" w:line="240" w:lineRule="auto"/>
              <w:rPr>
                <w:sz w:val="18"/>
                <w:szCs w:val="18"/>
              </w:rPr>
            </w:pPr>
            <w:r w:rsidRPr="004C0B28">
              <w:rPr>
                <w:sz w:val="18"/>
                <w:szCs w:val="18"/>
              </w:rPr>
              <w:t>2.3/ plan period</w:t>
            </w:r>
          </w:p>
        </w:tc>
      </w:tr>
      <w:tr w:rsidR="0081515D" w:rsidRPr="0081515D" w:rsidTr="002C07F9">
        <w:trPr>
          <w:trHeight w:val="285"/>
        </w:trPr>
        <w:tc>
          <w:tcPr>
            <w:tcW w:w="9497" w:type="dxa"/>
            <w:gridSpan w:val="3"/>
            <w:tcBorders>
              <w:top w:val="single" w:sz="4" w:space="0" w:color="auto"/>
              <w:left w:val="single" w:sz="4" w:space="0" w:color="auto"/>
              <w:bottom w:val="single" w:sz="4" w:space="0" w:color="auto"/>
              <w:right w:val="single" w:sz="4" w:space="0" w:color="auto"/>
            </w:tcBorders>
            <w:shd w:val="clear" w:color="000000" w:fill="FFFFFF"/>
            <w:noWrap/>
            <w:hideMark/>
          </w:tcPr>
          <w:p w:rsidR="0081515D" w:rsidRPr="00577B89" w:rsidRDefault="0081515D" w:rsidP="002C07F9">
            <w:pPr>
              <w:spacing w:before="0" w:after="0" w:line="240" w:lineRule="auto"/>
              <w:rPr>
                <w:b/>
                <w:bCs/>
                <w:sz w:val="18"/>
                <w:szCs w:val="18"/>
              </w:rPr>
            </w:pPr>
            <w:r w:rsidRPr="00577B89">
              <w:rPr>
                <w:sz w:val="18"/>
                <w:szCs w:val="18"/>
              </w:rPr>
              <w:t>STAGE 3: SUPPLY OF AFFORDABLE HOUSING</w:t>
            </w:r>
          </w:p>
        </w:tc>
      </w:tr>
      <w:tr w:rsidR="0081515D" w:rsidRPr="0081515D" w:rsidTr="00A71BF3">
        <w:trPr>
          <w:trHeight w:val="285"/>
        </w:trPr>
        <w:tc>
          <w:tcPr>
            <w:tcW w:w="3305" w:type="dxa"/>
            <w:tcBorders>
              <w:top w:val="nil"/>
              <w:left w:val="single" w:sz="4" w:space="0" w:color="auto"/>
              <w:bottom w:val="single" w:sz="4" w:space="0" w:color="auto"/>
              <w:right w:val="single" w:sz="4" w:space="0" w:color="auto"/>
            </w:tcBorders>
            <w:shd w:val="clear" w:color="000000" w:fill="FFFFFF"/>
            <w:noWrap/>
            <w:hideMark/>
          </w:tcPr>
          <w:p w:rsidR="0081515D" w:rsidRPr="00577B89" w:rsidRDefault="0081515D" w:rsidP="002C07F9">
            <w:pPr>
              <w:spacing w:before="0" w:after="0" w:line="240" w:lineRule="auto"/>
              <w:rPr>
                <w:sz w:val="18"/>
                <w:szCs w:val="18"/>
              </w:rPr>
            </w:pPr>
            <w:r w:rsidRPr="00577B89">
              <w:rPr>
                <w:sz w:val="18"/>
                <w:szCs w:val="18"/>
              </w:rPr>
              <w:t>3.1 Supply of affordable housing</w:t>
            </w:r>
          </w:p>
        </w:tc>
        <w:tc>
          <w:tcPr>
            <w:tcW w:w="784" w:type="dxa"/>
            <w:tcBorders>
              <w:top w:val="nil"/>
              <w:left w:val="nil"/>
              <w:bottom w:val="single" w:sz="4" w:space="0" w:color="auto"/>
              <w:right w:val="single" w:sz="4" w:space="0" w:color="auto"/>
            </w:tcBorders>
            <w:shd w:val="clear" w:color="000000" w:fill="E7E6E6"/>
            <w:noWrap/>
            <w:hideMark/>
          </w:tcPr>
          <w:p w:rsidR="0081515D" w:rsidRPr="00577B89" w:rsidRDefault="0081515D" w:rsidP="00A71BF3">
            <w:pPr>
              <w:spacing w:before="0" w:after="0" w:line="240" w:lineRule="auto"/>
              <w:jc w:val="center"/>
              <w:rPr>
                <w:sz w:val="18"/>
                <w:szCs w:val="18"/>
              </w:rPr>
            </w:pPr>
            <w:r w:rsidRPr="00577B89">
              <w:rPr>
                <w:sz w:val="18"/>
                <w:szCs w:val="18"/>
              </w:rPr>
              <w:t>6.</w:t>
            </w:r>
            <w:r w:rsidR="00577B89" w:rsidRPr="00577B89">
              <w:rPr>
                <w:sz w:val="18"/>
                <w:szCs w:val="18"/>
              </w:rPr>
              <w:t>6</w:t>
            </w:r>
          </w:p>
        </w:tc>
        <w:tc>
          <w:tcPr>
            <w:tcW w:w="5408" w:type="dxa"/>
            <w:tcBorders>
              <w:top w:val="nil"/>
              <w:left w:val="nil"/>
              <w:bottom w:val="single" w:sz="4" w:space="0" w:color="auto"/>
              <w:right w:val="single" w:sz="4" w:space="0" w:color="auto"/>
            </w:tcBorders>
            <w:shd w:val="clear" w:color="000000" w:fill="FFFFFF"/>
            <w:noWrap/>
            <w:hideMark/>
          </w:tcPr>
          <w:p w:rsidR="0081515D" w:rsidRPr="00577B89" w:rsidRDefault="0081515D" w:rsidP="002C07F9">
            <w:pPr>
              <w:spacing w:before="0" w:after="0" w:line="240" w:lineRule="auto"/>
              <w:rPr>
                <w:sz w:val="18"/>
                <w:szCs w:val="18"/>
              </w:rPr>
            </w:pPr>
            <w:r w:rsidRPr="00577B89">
              <w:rPr>
                <w:sz w:val="18"/>
                <w:szCs w:val="18"/>
              </w:rPr>
              <w:t>Number of shared ownership homes in NA (Census 2011 + new build to 2018/19)</w:t>
            </w:r>
          </w:p>
        </w:tc>
      </w:tr>
      <w:tr w:rsidR="0081515D" w:rsidRPr="0081515D" w:rsidTr="00A71BF3">
        <w:trPr>
          <w:trHeight w:val="285"/>
        </w:trPr>
        <w:tc>
          <w:tcPr>
            <w:tcW w:w="3305" w:type="dxa"/>
            <w:tcBorders>
              <w:top w:val="nil"/>
              <w:left w:val="single" w:sz="4" w:space="0" w:color="auto"/>
              <w:bottom w:val="single" w:sz="4" w:space="0" w:color="auto"/>
              <w:right w:val="single" w:sz="4" w:space="0" w:color="auto"/>
            </w:tcBorders>
            <w:shd w:val="clear" w:color="000000" w:fill="FFFFFF"/>
            <w:noWrap/>
            <w:hideMark/>
          </w:tcPr>
          <w:p w:rsidR="0081515D" w:rsidRPr="00577B89" w:rsidRDefault="0081515D" w:rsidP="002C07F9">
            <w:pPr>
              <w:spacing w:before="0" w:after="0" w:line="240" w:lineRule="auto"/>
              <w:rPr>
                <w:sz w:val="18"/>
                <w:szCs w:val="18"/>
              </w:rPr>
            </w:pPr>
            <w:r w:rsidRPr="00577B89">
              <w:rPr>
                <w:sz w:val="18"/>
                <w:szCs w:val="18"/>
              </w:rPr>
              <w:t>3.2 Supply - intermediate resales</w:t>
            </w:r>
          </w:p>
        </w:tc>
        <w:tc>
          <w:tcPr>
            <w:tcW w:w="784" w:type="dxa"/>
            <w:tcBorders>
              <w:top w:val="nil"/>
              <w:left w:val="nil"/>
              <w:bottom w:val="single" w:sz="4" w:space="0" w:color="auto"/>
              <w:right w:val="single" w:sz="4" w:space="0" w:color="auto"/>
            </w:tcBorders>
            <w:shd w:val="clear" w:color="000000" w:fill="E7E6E6"/>
            <w:noWrap/>
            <w:hideMark/>
          </w:tcPr>
          <w:p w:rsidR="0081515D" w:rsidRPr="00577B89" w:rsidRDefault="0081515D" w:rsidP="00A71BF3">
            <w:pPr>
              <w:spacing w:before="0" w:after="0" w:line="240" w:lineRule="auto"/>
              <w:jc w:val="center"/>
              <w:rPr>
                <w:b/>
                <w:bCs/>
                <w:sz w:val="18"/>
                <w:szCs w:val="18"/>
              </w:rPr>
            </w:pPr>
            <w:r w:rsidRPr="00577B89">
              <w:rPr>
                <w:sz w:val="18"/>
                <w:szCs w:val="18"/>
              </w:rPr>
              <w:t>0.3</w:t>
            </w:r>
          </w:p>
        </w:tc>
        <w:tc>
          <w:tcPr>
            <w:tcW w:w="5408" w:type="dxa"/>
            <w:tcBorders>
              <w:top w:val="nil"/>
              <w:left w:val="nil"/>
              <w:bottom w:val="single" w:sz="4" w:space="0" w:color="auto"/>
              <w:right w:val="single" w:sz="4" w:space="0" w:color="auto"/>
            </w:tcBorders>
            <w:shd w:val="clear" w:color="000000" w:fill="FFFFFF"/>
            <w:noWrap/>
            <w:hideMark/>
          </w:tcPr>
          <w:p w:rsidR="0081515D" w:rsidRPr="00577B89" w:rsidRDefault="0081515D" w:rsidP="002C07F9">
            <w:pPr>
              <w:spacing w:before="0" w:after="0" w:line="240" w:lineRule="auto"/>
              <w:rPr>
                <w:sz w:val="18"/>
                <w:szCs w:val="18"/>
              </w:rPr>
            </w:pPr>
            <w:r w:rsidRPr="00577B89">
              <w:rPr>
                <w:sz w:val="18"/>
                <w:szCs w:val="18"/>
              </w:rPr>
              <w:t>3.1 x 5% (assume rate of re-sale)</w:t>
            </w:r>
          </w:p>
        </w:tc>
      </w:tr>
      <w:tr w:rsidR="0081515D" w:rsidRPr="0081515D" w:rsidTr="002C07F9">
        <w:trPr>
          <w:trHeight w:val="285"/>
        </w:trPr>
        <w:tc>
          <w:tcPr>
            <w:tcW w:w="9497" w:type="dxa"/>
            <w:gridSpan w:val="3"/>
            <w:tcBorders>
              <w:top w:val="single" w:sz="4" w:space="0" w:color="auto"/>
              <w:left w:val="single" w:sz="4" w:space="0" w:color="auto"/>
              <w:bottom w:val="single" w:sz="4" w:space="0" w:color="auto"/>
              <w:right w:val="single" w:sz="4" w:space="0" w:color="auto"/>
            </w:tcBorders>
            <w:shd w:val="clear" w:color="000000" w:fill="FFFFFF"/>
            <w:noWrap/>
            <w:hideMark/>
          </w:tcPr>
          <w:p w:rsidR="0081515D" w:rsidRPr="00577B89" w:rsidRDefault="0081515D" w:rsidP="002C07F9">
            <w:pPr>
              <w:spacing w:before="0" w:after="0" w:line="240" w:lineRule="auto"/>
              <w:rPr>
                <w:b/>
                <w:bCs/>
                <w:sz w:val="18"/>
                <w:szCs w:val="18"/>
              </w:rPr>
            </w:pPr>
            <w:r w:rsidRPr="00577B89">
              <w:rPr>
                <w:sz w:val="18"/>
                <w:szCs w:val="18"/>
              </w:rPr>
              <w:t>NET SHORTFALL (OR SURPLUS) PER ANNUM</w:t>
            </w:r>
          </w:p>
        </w:tc>
      </w:tr>
      <w:tr w:rsidR="0081515D" w:rsidRPr="0081515D" w:rsidTr="002C07F9">
        <w:trPr>
          <w:trHeight w:val="285"/>
        </w:trPr>
        <w:tc>
          <w:tcPr>
            <w:tcW w:w="3305" w:type="dxa"/>
            <w:tcBorders>
              <w:top w:val="nil"/>
              <w:left w:val="single" w:sz="4" w:space="0" w:color="auto"/>
              <w:bottom w:val="single" w:sz="4" w:space="0" w:color="auto"/>
              <w:right w:val="single" w:sz="4" w:space="0" w:color="auto"/>
            </w:tcBorders>
            <w:shd w:val="clear" w:color="auto" w:fill="000000" w:themeFill="text1"/>
            <w:noWrap/>
            <w:hideMark/>
          </w:tcPr>
          <w:p w:rsidR="0081515D" w:rsidRPr="00577B89" w:rsidRDefault="0081515D" w:rsidP="002C07F9">
            <w:pPr>
              <w:spacing w:before="0" w:after="0" w:line="240" w:lineRule="auto"/>
              <w:rPr>
                <w:b/>
                <w:color w:val="FFFFFF" w:themeColor="background1"/>
                <w:sz w:val="18"/>
                <w:szCs w:val="18"/>
              </w:rPr>
            </w:pPr>
            <w:r w:rsidRPr="00577B89">
              <w:rPr>
                <w:b/>
                <w:color w:val="FFFFFF" w:themeColor="background1"/>
                <w:sz w:val="18"/>
                <w:szCs w:val="18"/>
              </w:rPr>
              <w:t>Shortfall (per annum)</w:t>
            </w:r>
          </w:p>
        </w:tc>
        <w:tc>
          <w:tcPr>
            <w:tcW w:w="784" w:type="dxa"/>
            <w:tcBorders>
              <w:top w:val="nil"/>
              <w:left w:val="nil"/>
              <w:bottom w:val="single" w:sz="4" w:space="0" w:color="auto"/>
              <w:right w:val="single" w:sz="4" w:space="0" w:color="auto"/>
            </w:tcBorders>
            <w:shd w:val="clear" w:color="auto" w:fill="000000" w:themeFill="text1"/>
            <w:noWrap/>
            <w:hideMark/>
          </w:tcPr>
          <w:p w:rsidR="0081515D" w:rsidRPr="00577B89" w:rsidRDefault="0081515D" w:rsidP="002C07F9">
            <w:pPr>
              <w:spacing w:before="0" w:after="0" w:line="240" w:lineRule="auto"/>
              <w:jc w:val="right"/>
              <w:rPr>
                <w:b/>
                <w:bCs/>
                <w:color w:val="FFFFFF" w:themeColor="background1"/>
                <w:sz w:val="18"/>
                <w:szCs w:val="18"/>
              </w:rPr>
            </w:pPr>
            <w:r w:rsidRPr="00577B89">
              <w:rPr>
                <w:b/>
                <w:bCs/>
                <w:color w:val="FFFFFF" w:themeColor="background1"/>
                <w:sz w:val="18"/>
                <w:szCs w:val="18"/>
              </w:rPr>
              <w:t>3.</w:t>
            </w:r>
            <w:r w:rsidR="00577B89">
              <w:rPr>
                <w:b/>
                <w:bCs/>
                <w:color w:val="FFFFFF" w:themeColor="background1"/>
                <w:sz w:val="18"/>
                <w:szCs w:val="18"/>
              </w:rPr>
              <w:t>1</w:t>
            </w:r>
          </w:p>
        </w:tc>
        <w:tc>
          <w:tcPr>
            <w:tcW w:w="5408" w:type="dxa"/>
            <w:tcBorders>
              <w:top w:val="nil"/>
              <w:left w:val="nil"/>
              <w:bottom w:val="single" w:sz="4" w:space="0" w:color="auto"/>
              <w:right w:val="single" w:sz="4" w:space="0" w:color="auto"/>
            </w:tcBorders>
            <w:shd w:val="clear" w:color="auto" w:fill="000000" w:themeFill="text1"/>
            <w:noWrap/>
            <w:hideMark/>
          </w:tcPr>
          <w:p w:rsidR="0081515D" w:rsidRPr="00577B89" w:rsidRDefault="0081515D" w:rsidP="002C07F9">
            <w:pPr>
              <w:spacing w:before="0" w:after="0" w:line="240" w:lineRule="auto"/>
              <w:rPr>
                <w:b/>
                <w:color w:val="FFFFFF" w:themeColor="background1"/>
                <w:sz w:val="18"/>
                <w:szCs w:val="18"/>
              </w:rPr>
            </w:pPr>
            <w:r w:rsidRPr="00577B89">
              <w:rPr>
                <w:b/>
                <w:color w:val="FFFFFF" w:themeColor="background1"/>
                <w:sz w:val="18"/>
                <w:szCs w:val="18"/>
              </w:rPr>
              <w:t>Shortfall = (Step 1.5 + Step 2.4) – 3.2</w:t>
            </w:r>
          </w:p>
        </w:tc>
      </w:tr>
    </w:tbl>
    <w:p w:rsidR="0081515D" w:rsidRPr="00577B89" w:rsidRDefault="0081515D" w:rsidP="0081515D">
      <w:pPr>
        <w:pStyle w:val="Source"/>
      </w:pPr>
      <w:r w:rsidRPr="00577B89">
        <w:t>Source: AECOM model, using Census 2011, English Housing Survey 2018, CLG 2014 based household projections and net additions to affordable housing stock. Figures may not sum due to rounding.</w:t>
      </w:r>
    </w:p>
    <w:p w:rsidR="00F91694" w:rsidRDefault="0081515D" w:rsidP="0081515D">
      <w:pPr>
        <w:pStyle w:val="ListNumber"/>
        <w:spacing w:before="0"/>
        <w:jc w:val="both"/>
        <w:rPr>
          <w:sz w:val="18"/>
          <w:szCs w:val="18"/>
        </w:rPr>
      </w:pPr>
      <w:r w:rsidRPr="001E60BE">
        <w:rPr>
          <w:sz w:val="18"/>
        </w:rPr>
        <w:lastRenderedPageBreak/>
        <w:t xml:space="preserve">Affordable housing is typically provided and made financially viable by its inclusion as a proportion of larger market </w:t>
      </w:r>
      <w:r w:rsidRPr="002307AE">
        <w:rPr>
          <w:sz w:val="18"/>
        </w:rPr>
        <w:t xml:space="preserve">developments, as guided by Local Plan policy, and implemented by the Local Planning Authority. </w:t>
      </w:r>
      <w:r w:rsidR="00B76331">
        <w:rPr>
          <w:sz w:val="18"/>
          <w:szCs w:val="18"/>
        </w:rPr>
        <w:t xml:space="preserve">It should be noted that Reedham is expected to deliver 40-50 / 68-88 dwellings over the plan period.  </w:t>
      </w:r>
    </w:p>
    <w:p w:rsidR="00F91694" w:rsidRDefault="00F91694" w:rsidP="0081515D">
      <w:pPr>
        <w:pStyle w:val="ListNumber"/>
        <w:spacing w:before="0"/>
        <w:jc w:val="both"/>
        <w:rPr>
          <w:sz w:val="18"/>
          <w:szCs w:val="18"/>
        </w:rPr>
      </w:pPr>
      <w:r>
        <w:rPr>
          <w:sz w:val="18"/>
          <w:szCs w:val="18"/>
        </w:rPr>
        <w:t xml:space="preserve">Assuming that the </w:t>
      </w:r>
      <w:r w:rsidRPr="00F91694">
        <w:rPr>
          <w:sz w:val="18"/>
          <w:szCs w:val="18"/>
        </w:rPr>
        <w:t xml:space="preserve">emerging local plan affordable housing policy will continue to require 40% of all developments (above a certain threshold) to be affordable housing, </w:t>
      </w:r>
      <w:r>
        <w:rPr>
          <w:sz w:val="18"/>
          <w:szCs w:val="18"/>
        </w:rPr>
        <w:t xml:space="preserve">and that the minimum target of </w:t>
      </w:r>
      <w:r w:rsidRPr="00F91694">
        <w:rPr>
          <w:sz w:val="18"/>
          <w:szCs w:val="18"/>
        </w:rPr>
        <w:t xml:space="preserve">50 dwellings </w:t>
      </w:r>
      <w:r>
        <w:rPr>
          <w:sz w:val="18"/>
          <w:szCs w:val="18"/>
        </w:rPr>
        <w:t xml:space="preserve">will be delivered </w:t>
      </w:r>
      <w:r w:rsidRPr="00F91694">
        <w:rPr>
          <w:sz w:val="18"/>
          <w:szCs w:val="18"/>
        </w:rPr>
        <w:t xml:space="preserve">over the plan period, </w:t>
      </w:r>
      <w:r>
        <w:rPr>
          <w:sz w:val="18"/>
          <w:szCs w:val="18"/>
        </w:rPr>
        <w:t xml:space="preserve">expected </w:t>
      </w:r>
      <w:r w:rsidRPr="00F91694">
        <w:rPr>
          <w:sz w:val="18"/>
          <w:szCs w:val="18"/>
        </w:rPr>
        <w:t xml:space="preserve">affordable housing </w:t>
      </w:r>
      <w:r>
        <w:rPr>
          <w:sz w:val="18"/>
          <w:szCs w:val="18"/>
        </w:rPr>
        <w:t xml:space="preserve">provision will be in the region of </w:t>
      </w:r>
      <w:r w:rsidRPr="00F91694">
        <w:rPr>
          <w:sz w:val="18"/>
          <w:szCs w:val="18"/>
        </w:rPr>
        <w:t xml:space="preserve">20 dwellings. </w:t>
      </w:r>
    </w:p>
    <w:p w:rsidR="0081515D" w:rsidRPr="00A71BF3" w:rsidRDefault="00785FB2" w:rsidP="0081515D">
      <w:pPr>
        <w:pStyle w:val="ListNumber"/>
        <w:spacing w:before="0"/>
        <w:jc w:val="both"/>
        <w:rPr>
          <w:sz w:val="18"/>
          <w:szCs w:val="18"/>
        </w:rPr>
      </w:pPr>
      <w:r>
        <w:rPr>
          <w:sz w:val="18"/>
          <w:szCs w:val="18"/>
        </w:rPr>
        <w:t xml:space="preserve">This number of dwellings </w:t>
      </w:r>
      <w:r w:rsidR="002D5E41">
        <w:rPr>
          <w:sz w:val="18"/>
          <w:szCs w:val="18"/>
        </w:rPr>
        <w:t xml:space="preserve">is likely to be sufficient to </w:t>
      </w:r>
      <w:proofErr w:type="spellStart"/>
      <w:r w:rsidR="002D5E41">
        <w:rPr>
          <w:sz w:val="18"/>
          <w:szCs w:val="18"/>
        </w:rPr>
        <w:t>to</w:t>
      </w:r>
      <w:proofErr w:type="spellEnd"/>
      <w:r w:rsidR="002D5E41">
        <w:rPr>
          <w:sz w:val="18"/>
          <w:szCs w:val="18"/>
        </w:rPr>
        <w:t xml:space="preserve"> deliver the most urgently needed </w:t>
      </w:r>
      <w:r>
        <w:rPr>
          <w:sz w:val="18"/>
          <w:szCs w:val="18"/>
        </w:rPr>
        <w:t>15 affordable rented units</w:t>
      </w:r>
      <w:r w:rsidR="002D5E41">
        <w:rPr>
          <w:sz w:val="18"/>
          <w:szCs w:val="18"/>
        </w:rPr>
        <w:t>,</w:t>
      </w:r>
      <w:r>
        <w:rPr>
          <w:sz w:val="18"/>
          <w:szCs w:val="18"/>
        </w:rPr>
        <w:t xml:space="preserve"> but will not be enough to extend to the </w:t>
      </w:r>
      <w:r w:rsidR="00F91694">
        <w:rPr>
          <w:sz w:val="18"/>
          <w:szCs w:val="18"/>
        </w:rPr>
        <w:t>potential demand for</w:t>
      </w:r>
      <w:r>
        <w:rPr>
          <w:sz w:val="18"/>
          <w:szCs w:val="18"/>
        </w:rPr>
        <w:t xml:space="preserve"> 50 affordable owned units</w:t>
      </w:r>
      <w:r w:rsidR="002D5E41">
        <w:rPr>
          <w:sz w:val="18"/>
          <w:szCs w:val="18"/>
        </w:rPr>
        <w:t>.</w:t>
      </w:r>
      <w:r>
        <w:rPr>
          <w:sz w:val="18"/>
          <w:szCs w:val="18"/>
        </w:rPr>
        <w:t xml:space="preserve"> </w:t>
      </w:r>
      <w:r w:rsidR="002D5E41">
        <w:rPr>
          <w:sz w:val="18"/>
          <w:szCs w:val="18"/>
        </w:rPr>
        <w:t>E</w:t>
      </w:r>
      <w:r>
        <w:rPr>
          <w:sz w:val="18"/>
          <w:szCs w:val="18"/>
        </w:rPr>
        <w:t xml:space="preserve">ven if 88 dwellings were built over the plan period it would require slightly less than half to be affordable owned units which is unrealistic. </w:t>
      </w:r>
    </w:p>
    <w:p w:rsidR="0081515D" w:rsidRPr="004B7008" w:rsidRDefault="002D5E41" w:rsidP="0081515D">
      <w:pPr>
        <w:pStyle w:val="ListNumber"/>
        <w:rPr>
          <w:sz w:val="18"/>
        </w:rPr>
      </w:pPr>
      <w:r>
        <w:rPr>
          <w:sz w:val="18"/>
        </w:rPr>
        <w:t>I</w:t>
      </w:r>
      <w:r w:rsidR="0081515D" w:rsidRPr="004B7008">
        <w:rPr>
          <w:sz w:val="18"/>
        </w:rPr>
        <w:t>f the community wishes to boost the supply of affordable housing</w:t>
      </w:r>
      <w:r>
        <w:rPr>
          <w:sz w:val="18"/>
        </w:rPr>
        <w:t xml:space="preserve"> in order to secure more affordable home ownership options</w:t>
      </w:r>
      <w:r w:rsidR="0081515D" w:rsidRPr="004B7008">
        <w:rPr>
          <w:sz w:val="18"/>
        </w:rPr>
        <w:t>, there are other, more proactive routes available for its provision. For example, using community development orders, identifying exception sites or developing community land trusts are all tried and tested ways of boosting the supply of affordable housing above the minima indicated by Local Plan policy.</w:t>
      </w:r>
    </w:p>
    <w:p w:rsidR="0081515D" w:rsidRPr="004B7008" w:rsidRDefault="0081515D" w:rsidP="0081515D">
      <w:pPr>
        <w:pStyle w:val="ListNumber"/>
        <w:spacing w:before="0"/>
        <w:jc w:val="both"/>
        <w:rPr>
          <w:sz w:val="18"/>
          <w:szCs w:val="18"/>
        </w:rPr>
      </w:pPr>
      <w:r w:rsidRPr="004B7008">
        <w:rPr>
          <w:sz w:val="18"/>
          <w:szCs w:val="18"/>
        </w:rPr>
        <w:t>It is important to state there is no policy or legal obligation on the part either of the Local Authority or neighbourhood planners for it to be met in full, either within or outside the Neighbourhood Plan area, though there are tools available to neighbourhood planners, as outlined above, that can help ensure that it is met to a greater extent if resources permit.</w:t>
      </w:r>
    </w:p>
    <w:p w:rsidR="0081515D" w:rsidRPr="003C0774" w:rsidRDefault="0081515D" w:rsidP="0081515D">
      <w:pPr>
        <w:pStyle w:val="ListNumber"/>
        <w:jc w:val="both"/>
        <w:rPr>
          <w:sz w:val="18"/>
          <w:szCs w:val="18"/>
        </w:rPr>
      </w:pPr>
      <w:r w:rsidRPr="003C0774">
        <w:rPr>
          <w:sz w:val="18"/>
          <w:szCs w:val="18"/>
        </w:rPr>
        <w:t xml:space="preserve">It is also important to remember that even after the </w:t>
      </w:r>
      <w:r w:rsidR="003C0774" w:rsidRPr="003C0774">
        <w:rPr>
          <w:sz w:val="18"/>
          <w:szCs w:val="18"/>
        </w:rPr>
        <w:t>Reedham</w:t>
      </w:r>
      <w:r w:rsidRPr="003C0774">
        <w:rPr>
          <w:sz w:val="18"/>
          <w:szCs w:val="18"/>
        </w:rPr>
        <w:t xml:space="preserve">, or indeed any other, Neighbourhood Plan is adopted, the assessment of need for affordable housing, its allocation to those in need and the management of the housing waiting list all remain the responsibility of the local authority rather than neighbourhood planners. </w:t>
      </w:r>
    </w:p>
    <w:p w:rsidR="0081515D" w:rsidRPr="003C0774" w:rsidRDefault="0081515D" w:rsidP="0081515D">
      <w:pPr>
        <w:pStyle w:val="ListNumber"/>
        <w:jc w:val="both"/>
        <w:rPr>
          <w:sz w:val="18"/>
          <w:szCs w:val="18"/>
        </w:rPr>
      </w:pPr>
      <w:r w:rsidRPr="003C0774">
        <w:rPr>
          <w:sz w:val="18"/>
          <w:szCs w:val="18"/>
        </w:rPr>
        <w:t>In this sense, it must be acknowledged that neighbourhood plans are by their nature relatively constrained in terms of the extent to which they can meet affordable housing need, unless there is a specific policy on the housing supply-side (e.g. the identification of one or more housing exception sites over and above those required by the Local Plan).</w:t>
      </w:r>
    </w:p>
    <w:p w:rsidR="0081515D" w:rsidRPr="00E9310E" w:rsidRDefault="0081515D" w:rsidP="0081515D">
      <w:pPr>
        <w:pStyle w:val="Heading2"/>
        <w:jc w:val="both"/>
      </w:pPr>
      <w:bookmarkStart w:id="94" w:name="_Toc14962133"/>
      <w:bookmarkStart w:id="95" w:name="_Toc19719796"/>
      <w:bookmarkStart w:id="96" w:name="_Toc30092192"/>
      <w:bookmarkStart w:id="97" w:name="_Toc33015859"/>
      <w:r w:rsidRPr="00E9310E">
        <w:t>Tenure Split</w:t>
      </w:r>
      <w:bookmarkEnd w:id="94"/>
      <w:bookmarkEnd w:id="95"/>
      <w:bookmarkEnd w:id="96"/>
      <w:bookmarkEnd w:id="97"/>
    </w:p>
    <w:p w:rsidR="0081515D" w:rsidRPr="00810EFB" w:rsidRDefault="0081515D" w:rsidP="0081515D">
      <w:pPr>
        <w:pStyle w:val="ListNumber"/>
        <w:widowControl w:val="0"/>
        <w:jc w:val="both"/>
        <w:rPr>
          <w:sz w:val="18"/>
          <w:szCs w:val="18"/>
        </w:rPr>
      </w:pPr>
      <w:r w:rsidRPr="00810EFB">
        <w:rPr>
          <w:sz w:val="18"/>
          <w:szCs w:val="18"/>
        </w:rPr>
        <w:t xml:space="preserve">In terms of the tenure split, it is important to reference </w:t>
      </w:r>
      <w:r w:rsidR="00FE1B01" w:rsidRPr="00810EFB">
        <w:rPr>
          <w:sz w:val="18"/>
          <w:szCs w:val="18"/>
        </w:rPr>
        <w:t>Reedham</w:t>
      </w:r>
      <w:r w:rsidRPr="00810EFB">
        <w:rPr>
          <w:sz w:val="18"/>
          <w:szCs w:val="18"/>
        </w:rPr>
        <w:t xml:space="preserve">’s affordable housing policy, as set out in the adopted </w:t>
      </w:r>
      <w:r w:rsidR="00FE1B01" w:rsidRPr="00810EFB">
        <w:rPr>
          <w:sz w:val="18"/>
          <w:szCs w:val="18"/>
        </w:rPr>
        <w:t>Joint Core Strategy</w:t>
      </w:r>
      <w:r w:rsidRPr="00810EFB">
        <w:rPr>
          <w:sz w:val="18"/>
          <w:szCs w:val="18"/>
        </w:rPr>
        <w:t xml:space="preserve">, which recommends a balance within any affordable housing provision of </w:t>
      </w:r>
      <w:r w:rsidR="00FE1B01" w:rsidRPr="00810EFB">
        <w:rPr>
          <w:sz w:val="18"/>
          <w:szCs w:val="18"/>
        </w:rPr>
        <w:t>6</w:t>
      </w:r>
      <w:r w:rsidRPr="00810EFB">
        <w:rPr>
          <w:sz w:val="18"/>
          <w:szCs w:val="18"/>
        </w:rPr>
        <w:t xml:space="preserve">0% Social Rent or Affordable Rent and </w:t>
      </w:r>
      <w:r w:rsidR="00810EFB" w:rsidRPr="00810EFB">
        <w:rPr>
          <w:sz w:val="18"/>
          <w:szCs w:val="18"/>
        </w:rPr>
        <w:t>4</w:t>
      </w:r>
      <w:r w:rsidRPr="00810EFB">
        <w:rPr>
          <w:sz w:val="18"/>
          <w:szCs w:val="18"/>
        </w:rPr>
        <w:t xml:space="preserve">0% </w:t>
      </w:r>
      <w:r w:rsidR="00810EFB" w:rsidRPr="00810EFB">
        <w:rPr>
          <w:sz w:val="18"/>
          <w:szCs w:val="18"/>
        </w:rPr>
        <w:t>intermediate</w:t>
      </w:r>
      <w:r w:rsidRPr="00810EFB">
        <w:rPr>
          <w:sz w:val="18"/>
          <w:szCs w:val="18"/>
        </w:rPr>
        <w:t xml:space="preserve"> home ownership. </w:t>
      </w:r>
    </w:p>
    <w:p w:rsidR="00F91694" w:rsidRDefault="00650094" w:rsidP="0081515D">
      <w:pPr>
        <w:pStyle w:val="ListNumber"/>
        <w:widowControl w:val="0"/>
        <w:jc w:val="both"/>
        <w:rPr>
          <w:sz w:val="18"/>
          <w:szCs w:val="18"/>
        </w:rPr>
      </w:pPr>
      <w:r>
        <w:rPr>
          <w:sz w:val="18"/>
          <w:szCs w:val="18"/>
        </w:rPr>
        <w:t>This balance does not closely align with the results of the exercise above</w:t>
      </w:r>
      <w:r w:rsidR="002D5E41">
        <w:rPr>
          <w:sz w:val="18"/>
          <w:szCs w:val="18"/>
        </w:rPr>
        <w:t>, which</w:t>
      </w:r>
      <w:r w:rsidR="00F91694">
        <w:rPr>
          <w:sz w:val="18"/>
          <w:szCs w:val="18"/>
        </w:rPr>
        <w:t xml:space="preserve"> </w:t>
      </w:r>
      <w:r w:rsidR="0081515D" w:rsidRPr="00A77BE9">
        <w:rPr>
          <w:sz w:val="18"/>
          <w:szCs w:val="18"/>
        </w:rPr>
        <w:t xml:space="preserve">produced a need for </w:t>
      </w:r>
      <w:r w:rsidR="00530CE5" w:rsidRPr="00A77BE9">
        <w:rPr>
          <w:sz w:val="18"/>
          <w:szCs w:val="18"/>
        </w:rPr>
        <w:t>15</w:t>
      </w:r>
      <w:r w:rsidR="0081515D" w:rsidRPr="00A77BE9">
        <w:rPr>
          <w:sz w:val="18"/>
          <w:szCs w:val="18"/>
        </w:rPr>
        <w:t xml:space="preserve"> affordable rented units and </w:t>
      </w:r>
      <w:r w:rsidR="00530CE5" w:rsidRPr="00A77BE9">
        <w:rPr>
          <w:sz w:val="18"/>
          <w:szCs w:val="18"/>
        </w:rPr>
        <w:t>50</w:t>
      </w:r>
      <w:r w:rsidR="0081515D" w:rsidRPr="00A77BE9">
        <w:rPr>
          <w:sz w:val="18"/>
          <w:szCs w:val="18"/>
        </w:rPr>
        <w:t xml:space="preserve"> affordable ownership units over the Plan period. As a proportion of the total of </w:t>
      </w:r>
      <w:r w:rsidR="00530CE5" w:rsidRPr="00A77BE9">
        <w:rPr>
          <w:sz w:val="18"/>
          <w:szCs w:val="18"/>
        </w:rPr>
        <w:t>65</w:t>
      </w:r>
      <w:r w:rsidR="0081515D" w:rsidRPr="00A77BE9">
        <w:rPr>
          <w:sz w:val="18"/>
          <w:szCs w:val="18"/>
        </w:rPr>
        <w:t xml:space="preserve"> Affordable Housing units, the balance between those figures is </w:t>
      </w:r>
      <w:r w:rsidR="00530CE5" w:rsidRPr="00A77BE9">
        <w:rPr>
          <w:sz w:val="18"/>
          <w:szCs w:val="18"/>
        </w:rPr>
        <w:t>23</w:t>
      </w:r>
      <w:r w:rsidR="00A77BE9" w:rsidRPr="00A77BE9">
        <w:rPr>
          <w:sz w:val="18"/>
          <w:szCs w:val="18"/>
        </w:rPr>
        <w:t>%</w:t>
      </w:r>
      <w:r w:rsidR="0081515D" w:rsidRPr="00A77BE9">
        <w:rPr>
          <w:sz w:val="18"/>
          <w:szCs w:val="18"/>
        </w:rPr>
        <w:t xml:space="preserve"> to </w:t>
      </w:r>
      <w:r w:rsidR="00A77BE9" w:rsidRPr="00A77BE9">
        <w:rPr>
          <w:sz w:val="18"/>
          <w:szCs w:val="18"/>
        </w:rPr>
        <w:t>77</w:t>
      </w:r>
      <w:r w:rsidR="0081515D" w:rsidRPr="00A77BE9">
        <w:rPr>
          <w:sz w:val="18"/>
          <w:szCs w:val="18"/>
        </w:rPr>
        <w:t>%.</w:t>
      </w:r>
      <w:r>
        <w:rPr>
          <w:sz w:val="18"/>
          <w:szCs w:val="18"/>
        </w:rPr>
        <w:t xml:space="preserve"> </w:t>
      </w:r>
      <w:r w:rsidR="00F91694">
        <w:rPr>
          <w:sz w:val="18"/>
          <w:szCs w:val="18"/>
        </w:rPr>
        <w:t>However, the two need figures calculated above are not of equal importance: the need identified for social and affordable rent identifies households who cannot afford any other housing</w:t>
      </w:r>
      <w:r w:rsidR="00096EB0">
        <w:rPr>
          <w:sz w:val="18"/>
          <w:szCs w:val="18"/>
        </w:rPr>
        <w:t xml:space="preserve"> (including homeless households and those in temporary accommodation)</w:t>
      </w:r>
      <w:r w:rsidR="00F91694">
        <w:rPr>
          <w:sz w:val="18"/>
          <w:szCs w:val="18"/>
        </w:rPr>
        <w:t xml:space="preserve">, while the identified need for affordable home ownership products should really be thought of as potential, aspirational demand among those who can afford market rents. </w:t>
      </w:r>
    </w:p>
    <w:p w:rsidR="0081515D" w:rsidRPr="00A77BE9" w:rsidRDefault="00650094" w:rsidP="0081515D">
      <w:pPr>
        <w:pStyle w:val="ListNumber"/>
        <w:widowControl w:val="0"/>
        <w:jc w:val="both"/>
        <w:rPr>
          <w:sz w:val="18"/>
          <w:szCs w:val="18"/>
        </w:rPr>
      </w:pPr>
      <w:r>
        <w:rPr>
          <w:sz w:val="18"/>
          <w:szCs w:val="18"/>
        </w:rPr>
        <w:t>Reflecting th</w:t>
      </w:r>
      <w:r w:rsidR="00F91694">
        <w:rPr>
          <w:sz w:val="18"/>
          <w:szCs w:val="18"/>
        </w:rPr>
        <w:t>is</w:t>
      </w:r>
      <w:r>
        <w:rPr>
          <w:sz w:val="18"/>
          <w:szCs w:val="18"/>
        </w:rPr>
        <w:t xml:space="preserve">, </w:t>
      </w:r>
      <w:r w:rsidR="00F91694">
        <w:rPr>
          <w:sz w:val="18"/>
          <w:szCs w:val="18"/>
        </w:rPr>
        <w:t>the existing policy requirement of</w:t>
      </w:r>
      <w:r>
        <w:rPr>
          <w:sz w:val="18"/>
          <w:szCs w:val="18"/>
        </w:rPr>
        <w:t xml:space="preserve"> 60% Affordable Rent and 40% intermediate </w:t>
      </w:r>
      <w:r w:rsidR="00E43D9F">
        <w:rPr>
          <w:sz w:val="18"/>
          <w:szCs w:val="18"/>
        </w:rPr>
        <w:t xml:space="preserve">home ownership priroritises the more urgent needs of those requiring affordable rent and </w:t>
      </w:r>
      <w:r w:rsidR="00F91694">
        <w:rPr>
          <w:sz w:val="18"/>
          <w:szCs w:val="18"/>
        </w:rPr>
        <w:t xml:space="preserve">would </w:t>
      </w:r>
      <w:r w:rsidR="00E43D9F">
        <w:rPr>
          <w:sz w:val="18"/>
          <w:szCs w:val="18"/>
        </w:rPr>
        <w:t xml:space="preserve">provide for enough affordable home ownership to satisfy a high amount of demand in the community. </w:t>
      </w:r>
      <w:r w:rsidR="00F91694">
        <w:rPr>
          <w:sz w:val="18"/>
          <w:szCs w:val="18"/>
        </w:rPr>
        <w:t>As such, it is considered appropriate that Reedham rely on existing policy to achieve its aims with regard to affordable housing.</w:t>
      </w:r>
    </w:p>
    <w:p w:rsidR="0081515D" w:rsidRDefault="0081515D" w:rsidP="0081515D">
      <w:pPr>
        <w:pStyle w:val="ListNumber"/>
        <w:widowControl w:val="0"/>
        <w:jc w:val="both"/>
        <w:rPr>
          <w:sz w:val="18"/>
          <w:szCs w:val="18"/>
        </w:rPr>
      </w:pPr>
      <w:r w:rsidRPr="00BE594E">
        <w:rPr>
          <w:sz w:val="18"/>
          <w:szCs w:val="18"/>
        </w:rPr>
        <w:t xml:space="preserve">The recommended tenure split for </w:t>
      </w:r>
      <w:r w:rsidR="009B3D16" w:rsidRPr="00BE594E">
        <w:rPr>
          <w:sz w:val="18"/>
          <w:szCs w:val="18"/>
        </w:rPr>
        <w:t>Reedham</w:t>
      </w:r>
      <w:r w:rsidRPr="00BE594E">
        <w:rPr>
          <w:sz w:val="18"/>
          <w:szCs w:val="18"/>
        </w:rPr>
        <w:t xml:space="preserve">, based on </w:t>
      </w:r>
      <w:r w:rsidR="00F91694">
        <w:rPr>
          <w:sz w:val="18"/>
          <w:szCs w:val="18"/>
        </w:rPr>
        <w:t>existing policy,</w:t>
      </w:r>
      <w:r w:rsidRPr="00BE594E">
        <w:rPr>
          <w:sz w:val="18"/>
          <w:szCs w:val="18"/>
        </w:rPr>
        <w:t xml:space="preserve"> is presented in </w:t>
      </w:r>
      <w:fldSimple w:instr=" REF _Ref30089760 \h  \* MERGEFORMAT ">
        <w:r w:rsidRPr="00BE594E">
          <w:rPr>
            <w:sz w:val="18"/>
          </w:rPr>
          <w:t xml:space="preserve">Table </w:t>
        </w:r>
        <w:r w:rsidRPr="00BE594E">
          <w:rPr>
            <w:noProof/>
            <w:sz w:val="18"/>
          </w:rPr>
          <w:t>4</w:t>
        </w:r>
        <w:r w:rsidRPr="00BE594E">
          <w:rPr>
            <w:sz w:val="18"/>
          </w:rPr>
          <w:noBreakHyphen/>
        </w:r>
        <w:r w:rsidRPr="00BE594E">
          <w:rPr>
            <w:noProof/>
            <w:sz w:val="18"/>
          </w:rPr>
          <w:t>6</w:t>
        </w:r>
      </w:fldSimple>
      <w:r w:rsidRPr="00BE594E">
        <w:rPr>
          <w:sz w:val="18"/>
          <w:szCs w:val="18"/>
        </w:rPr>
        <w:t xml:space="preserve"> below. Each headline tenure category is also broken down into sub-tenures in accordance with the evidence arising from the affordability analysis earlier in this chapter.</w:t>
      </w:r>
      <w:r w:rsidR="002623B2" w:rsidRPr="00BE594E">
        <w:rPr>
          <w:sz w:val="18"/>
          <w:szCs w:val="18"/>
        </w:rPr>
        <w:t xml:space="preserve"> </w:t>
      </w:r>
    </w:p>
    <w:p w:rsidR="0042428A" w:rsidRDefault="0042428A" w:rsidP="0042428A">
      <w:pPr>
        <w:pStyle w:val="ListNumber"/>
        <w:widowControl w:val="0"/>
        <w:numPr>
          <w:ilvl w:val="0"/>
          <w:numId w:val="0"/>
        </w:numPr>
        <w:ind w:left="425" w:hanging="425"/>
        <w:jc w:val="both"/>
        <w:rPr>
          <w:sz w:val="18"/>
          <w:szCs w:val="18"/>
        </w:rPr>
      </w:pPr>
    </w:p>
    <w:p w:rsidR="0042428A" w:rsidRDefault="0042428A" w:rsidP="0042428A">
      <w:pPr>
        <w:pStyle w:val="ListNumber"/>
        <w:widowControl w:val="0"/>
        <w:numPr>
          <w:ilvl w:val="0"/>
          <w:numId w:val="0"/>
        </w:numPr>
        <w:ind w:left="425" w:hanging="425"/>
        <w:jc w:val="both"/>
        <w:rPr>
          <w:sz w:val="18"/>
          <w:szCs w:val="18"/>
        </w:rPr>
      </w:pPr>
    </w:p>
    <w:p w:rsidR="0042428A" w:rsidRDefault="0042428A" w:rsidP="0042428A">
      <w:pPr>
        <w:pStyle w:val="ListNumber"/>
        <w:widowControl w:val="0"/>
        <w:numPr>
          <w:ilvl w:val="0"/>
          <w:numId w:val="0"/>
        </w:numPr>
        <w:ind w:left="425" w:hanging="425"/>
        <w:jc w:val="both"/>
        <w:rPr>
          <w:sz w:val="18"/>
          <w:szCs w:val="18"/>
        </w:rPr>
      </w:pPr>
    </w:p>
    <w:p w:rsidR="0042428A" w:rsidRDefault="0042428A" w:rsidP="0042428A">
      <w:pPr>
        <w:pStyle w:val="ListNumber"/>
        <w:widowControl w:val="0"/>
        <w:numPr>
          <w:ilvl w:val="0"/>
          <w:numId w:val="0"/>
        </w:numPr>
        <w:ind w:left="425" w:hanging="425"/>
        <w:jc w:val="both"/>
        <w:rPr>
          <w:sz w:val="18"/>
          <w:szCs w:val="18"/>
        </w:rPr>
      </w:pPr>
    </w:p>
    <w:p w:rsidR="0042428A" w:rsidRDefault="0042428A" w:rsidP="0042428A">
      <w:pPr>
        <w:pStyle w:val="ListNumber"/>
        <w:widowControl w:val="0"/>
        <w:numPr>
          <w:ilvl w:val="0"/>
          <w:numId w:val="0"/>
        </w:numPr>
        <w:ind w:left="425" w:hanging="425"/>
        <w:jc w:val="both"/>
        <w:rPr>
          <w:sz w:val="18"/>
          <w:szCs w:val="18"/>
        </w:rPr>
      </w:pPr>
    </w:p>
    <w:p w:rsidR="0042428A" w:rsidRPr="00BE594E" w:rsidRDefault="0042428A" w:rsidP="0042428A">
      <w:pPr>
        <w:pStyle w:val="ListNumber"/>
        <w:widowControl w:val="0"/>
        <w:numPr>
          <w:ilvl w:val="0"/>
          <w:numId w:val="0"/>
        </w:numPr>
        <w:ind w:left="425" w:hanging="425"/>
        <w:jc w:val="both"/>
        <w:rPr>
          <w:sz w:val="18"/>
          <w:szCs w:val="18"/>
        </w:rPr>
      </w:pPr>
    </w:p>
    <w:p w:rsidR="0081515D" w:rsidRPr="00E9310E" w:rsidRDefault="0081515D" w:rsidP="0081515D">
      <w:pPr>
        <w:pStyle w:val="Caption"/>
        <w:rPr>
          <w:sz w:val="18"/>
          <w:szCs w:val="18"/>
        </w:rPr>
      </w:pPr>
      <w:bookmarkStart w:id="98" w:name="_Ref30089760"/>
      <w:r w:rsidRPr="00E9310E">
        <w:rPr>
          <w:sz w:val="18"/>
        </w:rPr>
        <w:lastRenderedPageBreak/>
        <w:t xml:space="preserve">Table </w:t>
      </w:r>
      <w:r w:rsidR="001A69AC" w:rsidRPr="00E9310E">
        <w:rPr>
          <w:sz w:val="18"/>
        </w:rPr>
        <w:fldChar w:fldCharType="begin"/>
      </w:r>
      <w:r w:rsidRPr="00E9310E">
        <w:rPr>
          <w:sz w:val="18"/>
        </w:rPr>
        <w:instrText xml:space="preserve"> STYLEREF 1 \s </w:instrText>
      </w:r>
      <w:r w:rsidR="001A69AC" w:rsidRPr="00E9310E">
        <w:rPr>
          <w:sz w:val="18"/>
        </w:rPr>
        <w:fldChar w:fldCharType="separate"/>
      </w:r>
      <w:r w:rsidRPr="00E9310E">
        <w:rPr>
          <w:noProof/>
          <w:sz w:val="18"/>
        </w:rPr>
        <w:t>4</w:t>
      </w:r>
      <w:r w:rsidR="001A69AC" w:rsidRPr="00E9310E">
        <w:rPr>
          <w:sz w:val="18"/>
        </w:rPr>
        <w:fldChar w:fldCharType="end"/>
      </w:r>
      <w:r w:rsidRPr="00E9310E">
        <w:rPr>
          <w:sz w:val="18"/>
        </w:rPr>
        <w:noBreakHyphen/>
      </w:r>
      <w:r w:rsidR="001A69AC" w:rsidRPr="00E9310E">
        <w:rPr>
          <w:sz w:val="18"/>
        </w:rPr>
        <w:fldChar w:fldCharType="begin"/>
      </w:r>
      <w:r w:rsidRPr="00E9310E">
        <w:rPr>
          <w:sz w:val="18"/>
        </w:rPr>
        <w:instrText xml:space="preserve"> SEQ Table \* ARABIC \s 1 </w:instrText>
      </w:r>
      <w:r w:rsidR="001A69AC" w:rsidRPr="00E9310E">
        <w:rPr>
          <w:sz w:val="18"/>
        </w:rPr>
        <w:fldChar w:fldCharType="separate"/>
      </w:r>
      <w:r w:rsidRPr="00E9310E">
        <w:rPr>
          <w:noProof/>
          <w:sz w:val="18"/>
        </w:rPr>
        <w:t>6</w:t>
      </w:r>
      <w:r w:rsidR="001A69AC" w:rsidRPr="00E9310E">
        <w:rPr>
          <w:sz w:val="18"/>
        </w:rPr>
        <w:fldChar w:fldCharType="end"/>
      </w:r>
      <w:bookmarkEnd w:id="98"/>
      <w:r w:rsidRPr="00E9310E">
        <w:rPr>
          <w:sz w:val="18"/>
        </w:rPr>
        <w:t xml:space="preserve">: </w:t>
      </w:r>
      <w:r w:rsidRPr="00E9310E">
        <w:rPr>
          <w:sz w:val="18"/>
          <w:szCs w:val="18"/>
        </w:rPr>
        <w:t xml:space="preserve">Recommended tenure split (Affordable Housing) </w:t>
      </w:r>
    </w:p>
    <w:tbl>
      <w:tblPr>
        <w:tblW w:w="852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36"/>
        <w:gridCol w:w="3992"/>
      </w:tblGrid>
      <w:tr w:rsidR="0081515D" w:rsidRPr="0081515D" w:rsidTr="002C07F9">
        <w:trPr>
          <w:trHeight w:val="288"/>
        </w:trPr>
        <w:tc>
          <w:tcPr>
            <w:tcW w:w="4536" w:type="dxa"/>
            <w:shd w:val="clear" w:color="auto" w:fill="000000" w:themeFill="text1"/>
            <w:noWrap/>
            <w:vAlign w:val="center"/>
            <w:hideMark/>
          </w:tcPr>
          <w:p w:rsidR="0081515D" w:rsidRPr="00956187" w:rsidRDefault="0081515D" w:rsidP="002C07F9">
            <w:pPr>
              <w:rPr>
                <w:b/>
                <w:bCs/>
                <w:sz w:val="18"/>
                <w:szCs w:val="18"/>
              </w:rPr>
            </w:pPr>
            <w:r w:rsidRPr="00956187">
              <w:rPr>
                <w:b/>
                <w:bCs/>
                <w:color w:val="FFFFFF" w:themeColor="background1"/>
                <w:sz w:val="18"/>
                <w:szCs w:val="18"/>
              </w:rPr>
              <w:t>Routes to home ownership, of which</w:t>
            </w:r>
          </w:p>
        </w:tc>
        <w:tc>
          <w:tcPr>
            <w:tcW w:w="3992" w:type="dxa"/>
            <w:shd w:val="clear" w:color="auto" w:fill="auto"/>
            <w:noWrap/>
            <w:vAlign w:val="center"/>
            <w:hideMark/>
          </w:tcPr>
          <w:p w:rsidR="0081515D" w:rsidRPr="00FE1B01" w:rsidRDefault="00F91694" w:rsidP="002C07F9">
            <w:pPr>
              <w:rPr>
                <w:b/>
                <w:bCs/>
                <w:sz w:val="18"/>
                <w:szCs w:val="18"/>
                <w:highlight w:val="yellow"/>
              </w:rPr>
            </w:pPr>
            <w:r>
              <w:rPr>
                <w:b/>
                <w:bCs/>
                <w:sz w:val="18"/>
                <w:szCs w:val="18"/>
              </w:rPr>
              <w:t>40</w:t>
            </w:r>
            <w:r w:rsidR="0081515D" w:rsidRPr="00A77BE9">
              <w:rPr>
                <w:b/>
                <w:bCs/>
                <w:sz w:val="18"/>
                <w:szCs w:val="18"/>
              </w:rPr>
              <w:t>%</w:t>
            </w:r>
          </w:p>
        </w:tc>
      </w:tr>
      <w:tr w:rsidR="0081515D" w:rsidRPr="0081515D" w:rsidTr="002C07F9">
        <w:trPr>
          <w:trHeight w:val="300"/>
        </w:trPr>
        <w:tc>
          <w:tcPr>
            <w:tcW w:w="4536" w:type="dxa"/>
            <w:shd w:val="clear" w:color="auto" w:fill="auto"/>
            <w:noWrap/>
            <w:vAlign w:val="center"/>
            <w:hideMark/>
          </w:tcPr>
          <w:p w:rsidR="0081515D" w:rsidRPr="00956187" w:rsidRDefault="0081515D" w:rsidP="002C07F9">
            <w:pPr>
              <w:rPr>
                <w:iCs/>
                <w:sz w:val="18"/>
                <w:szCs w:val="18"/>
              </w:rPr>
            </w:pPr>
            <w:r w:rsidRPr="00956187">
              <w:rPr>
                <w:iCs/>
                <w:sz w:val="18"/>
                <w:szCs w:val="18"/>
              </w:rPr>
              <w:t xml:space="preserve">Shared ownership </w:t>
            </w:r>
          </w:p>
        </w:tc>
        <w:tc>
          <w:tcPr>
            <w:tcW w:w="3992" w:type="dxa"/>
            <w:shd w:val="clear" w:color="auto" w:fill="auto"/>
            <w:noWrap/>
            <w:vAlign w:val="center"/>
          </w:tcPr>
          <w:p w:rsidR="0081515D" w:rsidRPr="004B0B76" w:rsidRDefault="00F91694" w:rsidP="002C07F9">
            <w:pPr>
              <w:rPr>
                <w:iCs/>
                <w:sz w:val="18"/>
                <w:szCs w:val="18"/>
              </w:rPr>
            </w:pPr>
            <w:r>
              <w:rPr>
                <w:iCs/>
                <w:sz w:val="18"/>
                <w:szCs w:val="18"/>
              </w:rPr>
              <w:t>20</w:t>
            </w:r>
            <w:r w:rsidR="0081515D" w:rsidRPr="004B0B76">
              <w:rPr>
                <w:iCs/>
                <w:sz w:val="18"/>
                <w:szCs w:val="18"/>
              </w:rPr>
              <w:t>%</w:t>
            </w:r>
          </w:p>
        </w:tc>
      </w:tr>
      <w:tr w:rsidR="00F91694" w:rsidRPr="0081515D" w:rsidTr="002C07F9">
        <w:trPr>
          <w:trHeight w:val="300"/>
        </w:trPr>
        <w:tc>
          <w:tcPr>
            <w:tcW w:w="4536" w:type="dxa"/>
            <w:shd w:val="clear" w:color="auto" w:fill="auto"/>
            <w:noWrap/>
            <w:vAlign w:val="center"/>
          </w:tcPr>
          <w:p w:rsidR="00F91694" w:rsidRPr="00956187" w:rsidRDefault="00F91694" w:rsidP="002C07F9">
            <w:pPr>
              <w:rPr>
                <w:iCs/>
                <w:sz w:val="18"/>
                <w:szCs w:val="18"/>
              </w:rPr>
            </w:pPr>
            <w:r>
              <w:rPr>
                <w:iCs/>
                <w:sz w:val="18"/>
                <w:szCs w:val="18"/>
              </w:rPr>
              <w:t>Discounted market sale</w:t>
            </w:r>
          </w:p>
        </w:tc>
        <w:tc>
          <w:tcPr>
            <w:tcW w:w="3992" w:type="dxa"/>
            <w:shd w:val="clear" w:color="auto" w:fill="auto"/>
            <w:noWrap/>
            <w:vAlign w:val="center"/>
          </w:tcPr>
          <w:p w:rsidR="00F91694" w:rsidRDefault="00F91694" w:rsidP="002C07F9">
            <w:pPr>
              <w:rPr>
                <w:iCs/>
                <w:sz w:val="18"/>
                <w:szCs w:val="18"/>
              </w:rPr>
            </w:pPr>
            <w:r>
              <w:rPr>
                <w:iCs/>
                <w:sz w:val="18"/>
                <w:szCs w:val="18"/>
              </w:rPr>
              <w:t>20%</w:t>
            </w:r>
          </w:p>
        </w:tc>
      </w:tr>
      <w:tr w:rsidR="0081515D" w:rsidRPr="0081515D" w:rsidTr="002C07F9">
        <w:trPr>
          <w:trHeight w:val="288"/>
        </w:trPr>
        <w:tc>
          <w:tcPr>
            <w:tcW w:w="4536" w:type="dxa"/>
            <w:shd w:val="clear" w:color="auto" w:fill="000000" w:themeFill="text1"/>
            <w:noWrap/>
            <w:vAlign w:val="center"/>
            <w:hideMark/>
          </w:tcPr>
          <w:p w:rsidR="0081515D" w:rsidRPr="00956187" w:rsidRDefault="0081515D" w:rsidP="002C07F9">
            <w:pPr>
              <w:rPr>
                <w:b/>
                <w:bCs/>
                <w:sz w:val="18"/>
                <w:szCs w:val="18"/>
              </w:rPr>
            </w:pPr>
            <w:r w:rsidRPr="00956187">
              <w:rPr>
                <w:b/>
                <w:bCs/>
                <w:color w:val="FFFFFF" w:themeColor="background1"/>
                <w:sz w:val="18"/>
                <w:szCs w:val="18"/>
              </w:rPr>
              <w:t>Affordable Housing for rent, of which</w:t>
            </w:r>
          </w:p>
        </w:tc>
        <w:tc>
          <w:tcPr>
            <w:tcW w:w="3992" w:type="dxa"/>
            <w:shd w:val="clear" w:color="auto" w:fill="auto"/>
            <w:noWrap/>
            <w:vAlign w:val="center"/>
          </w:tcPr>
          <w:p w:rsidR="0081515D" w:rsidRPr="00956187" w:rsidRDefault="00F91694" w:rsidP="002C07F9">
            <w:pPr>
              <w:rPr>
                <w:b/>
                <w:bCs/>
                <w:sz w:val="18"/>
                <w:szCs w:val="18"/>
              </w:rPr>
            </w:pPr>
            <w:r>
              <w:rPr>
                <w:b/>
                <w:iCs/>
                <w:sz w:val="18"/>
                <w:szCs w:val="18"/>
              </w:rPr>
              <w:t>60</w:t>
            </w:r>
            <w:r w:rsidR="00A77BE9">
              <w:rPr>
                <w:b/>
                <w:iCs/>
                <w:sz w:val="18"/>
                <w:szCs w:val="18"/>
              </w:rPr>
              <w:t>%</w:t>
            </w:r>
          </w:p>
        </w:tc>
      </w:tr>
      <w:tr w:rsidR="0081515D" w:rsidRPr="0081515D" w:rsidTr="002C07F9">
        <w:trPr>
          <w:trHeight w:val="288"/>
        </w:trPr>
        <w:tc>
          <w:tcPr>
            <w:tcW w:w="4536" w:type="dxa"/>
            <w:shd w:val="clear" w:color="auto" w:fill="auto"/>
            <w:noWrap/>
            <w:vAlign w:val="center"/>
            <w:hideMark/>
          </w:tcPr>
          <w:p w:rsidR="0081515D" w:rsidRPr="00956187" w:rsidRDefault="0081515D" w:rsidP="002C07F9">
            <w:pPr>
              <w:rPr>
                <w:iCs/>
                <w:sz w:val="18"/>
                <w:szCs w:val="18"/>
              </w:rPr>
            </w:pPr>
            <w:r w:rsidRPr="00956187">
              <w:rPr>
                <w:iCs/>
                <w:sz w:val="18"/>
                <w:szCs w:val="18"/>
              </w:rPr>
              <w:t xml:space="preserve">Social rent </w:t>
            </w:r>
          </w:p>
        </w:tc>
        <w:tc>
          <w:tcPr>
            <w:tcW w:w="3992" w:type="dxa"/>
            <w:shd w:val="clear" w:color="auto" w:fill="auto"/>
            <w:noWrap/>
            <w:vAlign w:val="center"/>
            <w:hideMark/>
          </w:tcPr>
          <w:p w:rsidR="0081515D" w:rsidRPr="00956187" w:rsidRDefault="00F91694" w:rsidP="002C07F9">
            <w:pPr>
              <w:rPr>
                <w:iCs/>
                <w:sz w:val="18"/>
                <w:szCs w:val="18"/>
              </w:rPr>
            </w:pPr>
            <w:r>
              <w:rPr>
                <w:iCs/>
                <w:sz w:val="18"/>
                <w:szCs w:val="18"/>
              </w:rPr>
              <w:t>40</w:t>
            </w:r>
            <w:r w:rsidR="0081515D" w:rsidRPr="00956187">
              <w:rPr>
                <w:iCs/>
                <w:sz w:val="18"/>
                <w:szCs w:val="18"/>
              </w:rPr>
              <w:t>%</w:t>
            </w:r>
          </w:p>
        </w:tc>
      </w:tr>
      <w:tr w:rsidR="00F91694" w:rsidRPr="0081515D" w:rsidTr="002C07F9">
        <w:trPr>
          <w:trHeight w:val="288"/>
        </w:trPr>
        <w:tc>
          <w:tcPr>
            <w:tcW w:w="4536" w:type="dxa"/>
            <w:shd w:val="clear" w:color="auto" w:fill="auto"/>
            <w:noWrap/>
            <w:vAlign w:val="center"/>
          </w:tcPr>
          <w:p w:rsidR="00F91694" w:rsidRPr="00956187" w:rsidRDefault="00F91694" w:rsidP="002C07F9">
            <w:pPr>
              <w:rPr>
                <w:iCs/>
                <w:sz w:val="18"/>
                <w:szCs w:val="18"/>
              </w:rPr>
            </w:pPr>
            <w:r>
              <w:rPr>
                <w:iCs/>
                <w:sz w:val="18"/>
                <w:szCs w:val="18"/>
              </w:rPr>
              <w:t>Affordable rent</w:t>
            </w:r>
          </w:p>
        </w:tc>
        <w:tc>
          <w:tcPr>
            <w:tcW w:w="3992" w:type="dxa"/>
            <w:shd w:val="clear" w:color="auto" w:fill="auto"/>
            <w:noWrap/>
            <w:vAlign w:val="center"/>
          </w:tcPr>
          <w:p w:rsidR="00F91694" w:rsidRDefault="00F91694" w:rsidP="002C07F9">
            <w:pPr>
              <w:rPr>
                <w:iCs/>
                <w:sz w:val="18"/>
                <w:szCs w:val="18"/>
              </w:rPr>
            </w:pPr>
            <w:r>
              <w:rPr>
                <w:iCs/>
                <w:sz w:val="18"/>
                <w:szCs w:val="18"/>
              </w:rPr>
              <w:t>20%</w:t>
            </w:r>
          </w:p>
        </w:tc>
      </w:tr>
    </w:tbl>
    <w:p w:rsidR="0081515D" w:rsidRPr="00E9310E" w:rsidRDefault="0081515D" w:rsidP="0081515D">
      <w:pPr>
        <w:pStyle w:val="Source"/>
        <w:rPr>
          <w:sz w:val="18"/>
          <w:szCs w:val="18"/>
        </w:rPr>
      </w:pPr>
      <w:r w:rsidRPr="00E9310E">
        <w:rPr>
          <w:sz w:val="18"/>
          <w:szCs w:val="18"/>
        </w:rPr>
        <w:t>Source: AECOM calculations</w:t>
      </w:r>
    </w:p>
    <w:p w:rsidR="0081515D" w:rsidRPr="004D35D9" w:rsidRDefault="00096EB0" w:rsidP="0081515D">
      <w:pPr>
        <w:pStyle w:val="ListNumber"/>
        <w:spacing w:before="0"/>
        <w:rPr>
          <w:sz w:val="18"/>
          <w:szCs w:val="18"/>
        </w:rPr>
      </w:pPr>
      <w:r>
        <w:rPr>
          <w:sz w:val="18"/>
          <w:szCs w:val="18"/>
        </w:rPr>
        <w:t>Because</w:t>
      </w:r>
      <w:r w:rsidR="0081515D" w:rsidRPr="007B2E5E">
        <w:rPr>
          <w:sz w:val="18"/>
          <w:szCs w:val="18"/>
        </w:rPr>
        <w:t xml:space="preserve"> the </w:t>
      </w:r>
      <w:r>
        <w:rPr>
          <w:sz w:val="18"/>
          <w:szCs w:val="18"/>
        </w:rPr>
        <w:t xml:space="preserve">affordability </w:t>
      </w:r>
      <w:r w:rsidR="0081515D" w:rsidRPr="007B2E5E">
        <w:rPr>
          <w:sz w:val="18"/>
          <w:szCs w:val="18"/>
        </w:rPr>
        <w:t xml:space="preserve">analysis above </w:t>
      </w:r>
      <w:r w:rsidR="0081515D" w:rsidRPr="004D35D9">
        <w:rPr>
          <w:sz w:val="18"/>
          <w:szCs w:val="18"/>
        </w:rPr>
        <w:t>showed that single-earners on lower quartile incomes can only afford social rented accommodation</w:t>
      </w:r>
      <w:r>
        <w:rPr>
          <w:sz w:val="18"/>
          <w:szCs w:val="18"/>
        </w:rPr>
        <w:t>, social rent is prioritized as the most appropriate form of affordable rented housing in the guideline tenure split.</w:t>
      </w:r>
    </w:p>
    <w:p w:rsidR="0081515D" w:rsidRPr="00A71BF3" w:rsidRDefault="0081515D" w:rsidP="0081515D">
      <w:pPr>
        <w:pStyle w:val="ListNumber"/>
        <w:spacing w:before="0"/>
        <w:rPr>
          <w:sz w:val="18"/>
          <w:szCs w:val="18"/>
        </w:rPr>
      </w:pPr>
      <w:r w:rsidRPr="004D35D9">
        <w:rPr>
          <w:sz w:val="18"/>
          <w:szCs w:val="18"/>
        </w:rPr>
        <w:t>Because shared ownership</w:t>
      </w:r>
      <w:r w:rsidR="00E9310E" w:rsidRPr="004D35D9">
        <w:rPr>
          <w:sz w:val="18"/>
          <w:szCs w:val="18"/>
        </w:rPr>
        <w:t xml:space="preserve"> at 25%</w:t>
      </w:r>
      <w:r w:rsidRPr="004D35D9">
        <w:rPr>
          <w:sz w:val="18"/>
          <w:szCs w:val="18"/>
        </w:rPr>
        <w:t xml:space="preserve"> appeared to be the most accessible intermediate tenure in the affordability analysis, it is weighted higher in the above table than other forms of discounted market housing</w:t>
      </w:r>
      <w:r w:rsidR="00096EB0">
        <w:rPr>
          <w:sz w:val="18"/>
          <w:szCs w:val="18"/>
        </w:rPr>
        <w:t xml:space="preserve"> within the affordable home ownership category</w:t>
      </w:r>
      <w:r w:rsidRPr="004D35D9">
        <w:rPr>
          <w:sz w:val="18"/>
          <w:szCs w:val="18"/>
        </w:rPr>
        <w:t>. Note that t</w:t>
      </w:r>
      <w:r w:rsidRPr="004D35D9">
        <w:rPr>
          <w:sz w:val="18"/>
          <w:szCs w:val="18"/>
          <w:lang w:val="en-GB"/>
        </w:rPr>
        <w:t>he precise ownership share to be offered in shared ownership products is not something that it is in the power of neighbourhood planning policies to enforce.</w:t>
      </w:r>
    </w:p>
    <w:p w:rsidR="0081515D" w:rsidRPr="00D06EB9" w:rsidRDefault="0081515D" w:rsidP="0081515D">
      <w:pPr>
        <w:pStyle w:val="ListNumber"/>
        <w:spacing w:before="0"/>
        <w:rPr>
          <w:sz w:val="18"/>
          <w:szCs w:val="18"/>
        </w:rPr>
      </w:pPr>
      <w:r w:rsidRPr="004D35D9">
        <w:rPr>
          <w:sz w:val="18"/>
          <w:szCs w:val="18"/>
        </w:rPr>
        <w:t>While AECOM has</w:t>
      </w:r>
      <w:r w:rsidRPr="00D06EB9">
        <w:rPr>
          <w:sz w:val="18"/>
          <w:szCs w:val="18"/>
        </w:rPr>
        <w:t xml:space="preserve"> made suggestions for the split of different products within the tenure split, though this should be considered indicative as it will be subject to wider considerations of costs, viability and the availability of funding for particular products. </w:t>
      </w:r>
    </w:p>
    <w:p w:rsidR="0081515D" w:rsidRPr="00B51B0A" w:rsidRDefault="0081515D" w:rsidP="0081515D">
      <w:pPr>
        <w:pStyle w:val="ListNumber"/>
        <w:rPr>
          <w:sz w:val="18"/>
          <w:szCs w:val="18"/>
        </w:rPr>
      </w:pPr>
      <w:r w:rsidRPr="00B51B0A">
        <w:rPr>
          <w:sz w:val="18"/>
          <w:szCs w:val="18"/>
        </w:rPr>
        <w:t>Indeed, the precise mix of affordable homes at the site specific level will be influenced by factors other than the scale of need. The mix will be influenced by viability considerations, the views of Registered Providers including whether they wish to manage small numbers of affordable homes in a rural location, the existing stock mix and other policy objectives. It is important to state that the estimates of need in this HNA or elsewhere do not directly determine affordable housing policies because of these wider policy considerations.</w:t>
      </w:r>
    </w:p>
    <w:p w:rsidR="00466085" w:rsidRPr="00466085" w:rsidRDefault="0081515D" w:rsidP="00466085">
      <w:pPr>
        <w:pStyle w:val="ListNumber"/>
        <w:spacing w:before="0"/>
        <w:rPr>
          <w:sz w:val="18"/>
          <w:szCs w:val="18"/>
        </w:rPr>
      </w:pPr>
      <w:r w:rsidRPr="00B51B0A">
        <w:rPr>
          <w:sz w:val="18"/>
          <w:szCs w:val="18"/>
        </w:rPr>
        <w:t xml:space="preserve">The tenure split in </w:t>
      </w:r>
      <w:fldSimple w:instr=" REF _Ref30089760 \h  \* MERGEFORMAT ">
        <w:r w:rsidRPr="00B51B0A">
          <w:rPr>
            <w:sz w:val="18"/>
          </w:rPr>
          <w:t xml:space="preserve">Table </w:t>
        </w:r>
        <w:r w:rsidRPr="00B51B0A">
          <w:rPr>
            <w:noProof/>
            <w:sz w:val="18"/>
          </w:rPr>
          <w:t>4</w:t>
        </w:r>
        <w:r w:rsidRPr="00B51B0A">
          <w:rPr>
            <w:sz w:val="18"/>
          </w:rPr>
          <w:noBreakHyphen/>
        </w:r>
        <w:r w:rsidRPr="00B51B0A">
          <w:rPr>
            <w:noProof/>
            <w:sz w:val="18"/>
          </w:rPr>
          <w:t>6</w:t>
        </w:r>
      </w:fldSimple>
      <w:r w:rsidRPr="00B51B0A">
        <w:rPr>
          <w:sz w:val="18"/>
          <w:szCs w:val="18"/>
        </w:rPr>
        <w:t xml:space="preserve"> should be considered a guideline for the ideal mix of tenures to be delivered within the NA. As such, it will be a useful point of reference when planning applications are considered but may not represent sufficient justification for the tenure split to be enforced precisely through a Neighbourhood Plan policy.</w:t>
      </w:r>
    </w:p>
    <w:p w:rsidR="00C869B9" w:rsidRPr="00A63374" w:rsidRDefault="00C869B9" w:rsidP="00A63374">
      <w:pPr>
        <w:pStyle w:val="Heading2"/>
        <w:numPr>
          <w:ilvl w:val="0"/>
          <w:numId w:val="0"/>
        </w:numPr>
        <w:jc w:val="both"/>
        <w:rPr>
          <w:sz w:val="18"/>
          <w:szCs w:val="18"/>
        </w:rPr>
      </w:pPr>
      <w:bookmarkStart w:id="99" w:name="_Toc33015860"/>
      <w:r w:rsidRPr="00ED00FF">
        <w:t>Conclusions</w:t>
      </w:r>
      <w:r>
        <w:t>- Tenure and Affordability</w:t>
      </w:r>
      <w:bookmarkEnd w:id="99"/>
    </w:p>
    <w:p w:rsidR="00C869B9" w:rsidRDefault="00C869B9" w:rsidP="00C869B9">
      <w:pPr>
        <w:pStyle w:val="ListNumber"/>
        <w:rPr>
          <w:sz w:val="18"/>
          <w:szCs w:val="18"/>
        </w:rPr>
      </w:pPr>
      <w:r w:rsidRPr="00A63374">
        <w:rPr>
          <w:sz w:val="18"/>
          <w:szCs w:val="18"/>
        </w:rPr>
        <w:t>Reedham is characterised by a relatively high proportion of home ownership</w:t>
      </w:r>
      <w:r w:rsidR="003C2117">
        <w:rPr>
          <w:sz w:val="18"/>
          <w:szCs w:val="18"/>
        </w:rPr>
        <w:t xml:space="preserve"> (70.3%)</w:t>
      </w:r>
      <w:r w:rsidRPr="00A63374">
        <w:rPr>
          <w:sz w:val="18"/>
          <w:szCs w:val="18"/>
        </w:rPr>
        <w:t>, as opposed to private and social renting, when compared to England as a whole. While this could be taken to indicate a housing market where home ownership is within reach of most people, a more detailed analysis of affordability reveals that this is not the case.</w:t>
      </w:r>
      <w:r w:rsidR="00660DC7">
        <w:rPr>
          <w:sz w:val="18"/>
          <w:szCs w:val="18"/>
        </w:rPr>
        <w:t xml:space="preserve"> </w:t>
      </w:r>
    </w:p>
    <w:p w:rsidR="00FC667F" w:rsidRPr="00A63374" w:rsidRDefault="00F2066D" w:rsidP="00C869B9">
      <w:pPr>
        <w:pStyle w:val="ListNumber"/>
        <w:rPr>
          <w:sz w:val="18"/>
          <w:szCs w:val="18"/>
        </w:rPr>
      </w:pPr>
      <w:r>
        <w:rPr>
          <w:sz w:val="18"/>
          <w:szCs w:val="18"/>
        </w:rPr>
        <w:t xml:space="preserve">Overall, houses prices have </w:t>
      </w:r>
      <w:r w:rsidR="006709A0">
        <w:rPr>
          <w:sz w:val="18"/>
          <w:szCs w:val="18"/>
        </w:rPr>
        <w:t>grown over the past 10 years. The mean price of houses has risen by approximately 65%</w:t>
      </w:r>
      <w:r w:rsidR="00C619F9">
        <w:rPr>
          <w:sz w:val="18"/>
          <w:szCs w:val="18"/>
        </w:rPr>
        <w:t>, with semi-detached homes experiencing moderately greater price rises than other types.</w:t>
      </w:r>
    </w:p>
    <w:p w:rsidR="00C869B9" w:rsidRPr="00A63374" w:rsidRDefault="00C869B9" w:rsidP="00C869B9">
      <w:pPr>
        <w:pStyle w:val="ListNumber"/>
        <w:rPr>
          <w:sz w:val="18"/>
          <w:szCs w:val="18"/>
        </w:rPr>
      </w:pPr>
      <w:r w:rsidRPr="00A63374">
        <w:rPr>
          <w:sz w:val="18"/>
          <w:szCs w:val="18"/>
        </w:rPr>
        <w:t xml:space="preserve">Private renting is comparatively uncommon in Reedham, despite rising significantly between 2001 and 2011 (as did shared ownership and social rent, from a low base). </w:t>
      </w:r>
    </w:p>
    <w:p w:rsidR="00C869B9" w:rsidRPr="00A63374" w:rsidRDefault="00C869B9" w:rsidP="00C869B9">
      <w:pPr>
        <w:pStyle w:val="ListNumber"/>
        <w:rPr>
          <w:sz w:val="18"/>
          <w:szCs w:val="18"/>
        </w:rPr>
      </w:pPr>
      <w:r w:rsidRPr="00A63374">
        <w:rPr>
          <w:sz w:val="18"/>
          <w:szCs w:val="18"/>
        </w:rPr>
        <w:t>Given that social rent is the only secure tenure within reach of dual-earning households on lower quartile incomes (though some may access private rented dwellings through housing benefit), a lack of social or affordable rented dwellings is the principle affordability challenge for Reedham residents.</w:t>
      </w:r>
    </w:p>
    <w:p w:rsidR="00C869B9" w:rsidRPr="00A63374" w:rsidRDefault="00C869B9" w:rsidP="00C869B9">
      <w:pPr>
        <w:pStyle w:val="ListNumber"/>
        <w:rPr>
          <w:sz w:val="18"/>
          <w:szCs w:val="18"/>
        </w:rPr>
      </w:pPr>
      <w:r w:rsidRPr="00A63374">
        <w:rPr>
          <w:sz w:val="18"/>
          <w:szCs w:val="18"/>
        </w:rPr>
        <w:t>To ensure that other households on lower than average incomes can afford to continue living in Reedham and that the high number of overcrowded households can have the opportunity to form their own independent households, it will also be important to increase the quantity of affordable routes to home ownership – especially if reforms to welfare including housing benefit are implemented in the coming years.</w:t>
      </w:r>
    </w:p>
    <w:p w:rsidR="00C869B9" w:rsidRPr="00A63374" w:rsidRDefault="00C869B9" w:rsidP="00C869B9">
      <w:pPr>
        <w:pStyle w:val="ListNumber"/>
        <w:rPr>
          <w:sz w:val="18"/>
          <w:szCs w:val="18"/>
        </w:rPr>
      </w:pPr>
      <w:r w:rsidRPr="00A63374">
        <w:rPr>
          <w:sz w:val="18"/>
          <w:szCs w:val="18"/>
        </w:rPr>
        <w:t>Affordable Housing is typically provided and made financially viable by Borough-wide planning policies that require it to be included at a set proportion of larger market housing developments. This policy expectation in Reedham, expressed in Reedham’s adopted Joint Core Strategy is that 40% of new housing on developments</w:t>
      </w:r>
      <w:r w:rsidR="00581D96">
        <w:rPr>
          <w:sz w:val="18"/>
          <w:szCs w:val="18"/>
        </w:rPr>
        <w:t xml:space="preserve"> should be affordable. </w:t>
      </w:r>
    </w:p>
    <w:p w:rsidR="00C869B9" w:rsidRPr="00A63374" w:rsidRDefault="009A4818" w:rsidP="00C869B9">
      <w:pPr>
        <w:pStyle w:val="ListNumber"/>
        <w:rPr>
          <w:sz w:val="18"/>
          <w:szCs w:val="18"/>
        </w:rPr>
      </w:pPr>
      <w:r>
        <w:rPr>
          <w:sz w:val="18"/>
          <w:szCs w:val="18"/>
        </w:rPr>
        <w:lastRenderedPageBreak/>
        <w:t>I</w:t>
      </w:r>
      <w:r w:rsidR="00C869B9" w:rsidRPr="00A63374">
        <w:rPr>
          <w:sz w:val="18"/>
          <w:szCs w:val="18"/>
        </w:rPr>
        <w:t xml:space="preserve">f the indicative </w:t>
      </w:r>
      <w:proofErr w:type="gramStart"/>
      <w:r w:rsidR="00C869B9" w:rsidRPr="00A63374">
        <w:rPr>
          <w:sz w:val="18"/>
          <w:szCs w:val="18"/>
        </w:rPr>
        <w:t>figure of 50-60 dwellings proposed for Reedham</w:t>
      </w:r>
      <w:r>
        <w:rPr>
          <w:sz w:val="18"/>
          <w:szCs w:val="18"/>
        </w:rPr>
        <w:t xml:space="preserve"> are</w:t>
      </w:r>
      <w:proofErr w:type="gramEnd"/>
      <w:r>
        <w:rPr>
          <w:sz w:val="18"/>
          <w:szCs w:val="18"/>
        </w:rPr>
        <w:t xml:space="preserve"> delivered</w:t>
      </w:r>
      <w:r w:rsidR="00C141C8">
        <w:rPr>
          <w:sz w:val="18"/>
          <w:szCs w:val="18"/>
        </w:rPr>
        <w:t>,</w:t>
      </w:r>
      <w:r w:rsidR="00C869B9" w:rsidRPr="00A63374">
        <w:rPr>
          <w:sz w:val="18"/>
          <w:szCs w:val="18"/>
        </w:rPr>
        <w:t xml:space="preserve"> </w:t>
      </w:r>
      <w:r>
        <w:rPr>
          <w:sz w:val="18"/>
          <w:szCs w:val="18"/>
        </w:rPr>
        <w:t>approximately 20</w:t>
      </w:r>
      <w:r w:rsidR="00581D96" w:rsidRPr="00530CE5">
        <w:rPr>
          <w:sz w:val="18"/>
          <w:szCs w:val="18"/>
        </w:rPr>
        <w:t xml:space="preserve"> affordable homes </w:t>
      </w:r>
      <w:r>
        <w:rPr>
          <w:sz w:val="18"/>
          <w:szCs w:val="18"/>
        </w:rPr>
        <w:t>can be expected to come forward on</w:t>
      </w:r>
      <w:r w:rsidR="00C869B9" w:rsidRPr="00A63374">
        <w:rPr>
          <w:sz w:val="18"/>
          <w:szCs w:val="18"/>
        </w:rPr>
        <w:t xml:space="preserve"> the basis of that policy requirement. </w:t>
      </w:r>
      <w:r>
        <w:rPr>
          <w:sz w:val="18"/>
          <w:szCs w:val="18"/>
        </w:rPr>
        <w:t>It is estimated that Reedham households will require 15 affordable rented dwellings and 50 affordable home ownership dwellings over the Plan period. It is clear that expected delivery of around 20 affordable homes</w:t>
      </w:r>
      <w:r w:rsidR="00C869B9" w:rsidRPr="00A63374">
        <w:rPr>
          <w:sz w:val="18"/>
          <w:szCs w:val="18"/>
        </w:rPr>
        <w:t xml:space="preserve"> will not be enough to </w:t>
      </w:r>
      <w:r>
        <w:rPr>
          <w:sz w:val="18"/>
          <w:szCs w:val="18"/>
        </w:rPr>
        <w:t xml:space="preserve">provide both 15 affordable rented homes and 50 affordable home ownership units. This is true </w:t>
      </w:r>
      <w:r w:rsidR="00C869B9" w:rsidRPr="00A63374">
        <w:rPr>
          <w:sz w:val="18"/>
          <w:szCs w:val="18"/>
        </w:rPr>
        <w:t xml:space="preserve">even if 88 dwellings were built over the </w:t>
      </w:r>
      <w:r>
        <w:rPr>
          <w:sz w:val="18"/>
          <w:szCs w:val="18"/>
        </w:rPr>
        <w:t>P</w:t>
      </w:r>
      <w:r w:rsidR="00C869B9" w:rsidRPr="00A63374">
        <w:rPr>
          <w:sz w:val="18"/>
          <w:szCs w:val="18"/>
        </w:rPr>
        <w:t xml:space="preserve">lan period. </w:t>
      </w:r>
    </w:p>
    <w:p w:rsidR="00C869B9" w:rsidRPr="00A63374" w:rsidRDefault="00C869B9" w:rsidP="00C869B9">
      <w:pPr>
        <w:pStyle w:val="ListNumber"/>
        <w:rPr>
          <w:sz w:val="18"/>
          <w:szCs w:val="18"/>
        </w:rPr>
      </w:pPr>
      <w:r w:rsidRPr="00A63374">
        <w:rPr>
          <w:sz w:val="18"/>
          <w:szCs w:val="18"/>
        </w:rPr>
        <w:t>Since the level of expected delivery is not sufficient to meet local need as evidenced in this HNA, it is critical that the 40% housing delivery requirement is met wherever possible in Reedham. Should the community wish to further boost the supply of Affordable Housing there are other routes available to providing it. For example, using community development orders, identifying exception sites or developing community land trusts are all tried and tested ways of increasing the supply of affordable housing above the minima indicated by Local Plan policy.</w:t>
      </w:r>
    </w:p>
    <w:p w:rsidR="00C869B9" w:rsidRPr="00A63374" w:rsidRDefault="009A4818" w:rsidP="00C869B9">
      <w:pPr>
        <w:pStyle w:val="ListNumber"/>
        <w:rPr>
          <w:sz w:val="18"/>
          <w:szCs w:val="18"/>
        </w:rPr>
      </w:pPr>
      <w:r>
        <w:rPr>
          <w:sz w:val="18"/>
          <w:szCs w:val="18"/>
        </w:rPr>
        <w:t>In order to ensure that the most urgent forms of housing need in Reedham are satisfied (i.e. the need for affordable rented housing from those on the lowest incomes)</w:t>
      </w:r>
      <w:r w:rsidR="00C869B9" w:rsidRPr="00A63374">
        <w:rPr>
          <w:sz w:val="18"/>
          <w:szCs w:val="18"/>
        </w:rPr>
        <w:t xml:space="preserve">, it is recommended that approximately </w:t>
      </w:r>
      <w:r>
        <w:rPr>
          <w:sz w:val="18"/>
          <w:szCs w:val="18"/>
        </w:rPr>
        <w:t>60</w:t>
      </w:r>
      <w:r w:rsidR="00C869B9" w:rsidRPr="00A63374">
        <w:rPr>
          <w:sz w:val="18"/>
          <w:szCs w:val="18"/>
        </w:rPr>
        <w:t>%</w:t>
      </w:r>
      <w:r>
        <w:rPr>
          <w:sz w:val="18"/>
          <w:szCs w:val="18"/>
        </w:rPr>
        <w:t xml:space="preserve"> of affordable housing</w:t>
      </w:r>
      <w:r w:rsidR="00C869B9" w:rsidRPr="00A63374">
        <w:rPr>
          <w:sz w:val="18"/>
          <w:szCs w:val="18"/>
        </w:rPr>
        <w:t xml:space="preserve"> be offered as social or affordable rent, with the emphasis on social rent</w:t>
      </w:r>
      <w:r>
        <w:rPr>
          <w:sz w:val="18"/>
          <w:szCs w:val="18"/>
        </w:rPr>
        <w:t>,</w:t>
      </w:r>
      <w:r w:rsidR="00C869B9" w:rsidRPr="00A63374">
        <w:rPr>
          <w:sz w:val="18"/>
          <w:szCs w:val="18"/>
        </w:rPr>
        <w:t xml:space="preserve"> and the remaining </w:t>
      </w:r>
      <w:r>
        <w:rPr>
          <w:sz w:val="18"/>
          <w:szCs w:val="18"/>
        </w:rPr>
        <w:t>40</w:t>
      </w:r>
      <w:r w:rsidR="00C869B9" w:rsidRPr="00A63374">
        <w:rPr>
          <w:sz w:val="18"/>
          <w:szCs w:val="18"/>
        </w:rPr>
        <w:t>% delivered as affordable routes to home ownership, with the emphasis on shared ownership (which is</w:t>
      </w:r>
      <w:r>
        <w:rPr>
          <w:sz w:val="18"/>
          <w:szCs w:val="18"/>
        </w:rPr>
        <w:t xml:space="preserve"> more</w:t>
      </w:r>
      <w:r w:rsidR="00C869B9" w:rsidRPr="00A63374">
        <w:rPr>
          <w:sz w:val="18"/>
          <w:szCs w:val="18"/>
        </w:rPr>
        <w:t xml:space="preserve"> affordable </w:t>
      </w:r>
      <w:r>
        <w:rPr>
          <w:sz w:val="18"/>
          <w:szCs w:val="18"/>
        </w:rPr>
        <w:t>than discounted market housing</w:t>
      </w:r>
      <w:r w:rsidR="00C869B9" w:rsidRPr="00A63374">
        <w:rPr>
          <w:sz w:val="18"/>
          <w:szCs w:val="18"/>
        </w:rPr>
        <w:t xml:space="preserve">). </w:t>
      </w:r>
      <w:r>
        <w:rPr>
          <w:sz w:val="18"/>
          <w:szCs w:val="18"/>
        </w:rPr>
        <w:t>This tenure split is in line with Broadlands policy guidance.</w:t>
      </w:r>
    </w:p>
    <w:p w:rsidR="00C869B9" w:rsidRPr="00C869B9" w:rsidRDefault="00C869B9" w:rsidP="00C869B9">
      <w:pPr>
        <w:pStyle w:val="ListNumber"/>
        <w:rPr>
          <w:sz w:val="18"/>
          <w:szCs w:val="18"/>
        </w:rPr>
      </w:pPr>
      <w:r w:rsidRPr="00A63374">
        <w:rPr>
          <w:sz w:val="18"/>
          <w:szCs w:val="18"/>
        </w:rPr>
        <w:t xml:space="preserve">The need to improve affordability in </w:t>
      </w:r>
      <w:r w:rsidR="00132452">
        <w:rPr>
          <w:sz w:val="18"/>
          <w:szCs w:val="18"/>
        </w:rPr>
        <w:t xml:space="preserve">Reedham </w:t>
      </w:r>
      <w:r w:rsidRPr="00A63374">
        <w:rPr>
          <w:sz w:val="18"/>
          <w:szCs w:val="18"/>
        </w:rPr>
        <w:t xml:space="preserve">across all tenures aligns with the findings in relation to the type and size of homes – that new residential development should ensure a substantial proportion of smaller dwellings. Increasing the proportion of smaller homes and more affordable types (as above) should help to rebalance the housing stock in </w:t>
      </w:r>
      <w:proofErr w:type="spellStart"/>
      <w:r w:rsidRPr="00A63374">
        <w:rPr>
          <w:sz w:val="18"/>
          <w:szCs w:val="18"/>
        </w:rPr>
        <w:t>favour</w:t>
      </w:r>
      <w:proofErr w:type="spellEnd"/>
      <w:r w:rsidRPr="00A63374">
        <w:rPr>
          <w:sz w:val="18"/>
          <w:szCs w:val="18"/>
        </w:rPr>
        <w:t xml:space="preserve"> of options that are both suitable to the population profile as it evolves over time and that will combat growing affordability challenges</w:t>
      </w:r>
      <w:r w:rsidRPr="00C869B9">
        <w:rPr>
          <w:sz w:val="18"/>
          <w:szCs w:val="18"/>
        </w:rPr>
        <w:t>.</w:t>
      </w:r>
    </w:p>
    <w:p w:rsidR="00C869B9" w:rsidRPr="00B51B0A" w:rsidRDefault="00C869B9" w:rsidP="00C81925">
      <w:pPr>
        <w:pStyle w:val="ListNumber"/>
        <w:numPr>
          <w:ilvl w:val="0"/>
          <w:numId w:val="0"/>
        </w:numPr>
        <w:spacing w:before="0"/>
        <w:ind w:left="425"/>
        <w:rPr>
          <w:sz w:val="18"/>
          <w:szCs w:val="18"/>
        </w:rPr>
      </w:pPr>
    </w:p>
    <w:p w:rsidR="003014DC" w:rsidRDefault="003014DC" w:rsidP="003014DC">
      <w:pPr>
        <w:pStyle w:val="Heading2"/>
        <w:numPr>
          <w:ilvl w:val="0"/>
          <w:numId w:val="0"/>
        </w:numPr>
        <w:ind w:left="851" w:hanging="851"/>
      </w:pPr>
    </w:p>
    <w:p w:rsidR="002C2D5C" w:rsidRDefault="002C2D5C" w:rsidP="00466085">
      <w:pPr>
        <w:pStyle w:val="Numberedtext"/>
        <w:rPr>
          <w:rFonts w:eastAsiaTheme="majorEastAsia"/>
        </w:rPr>
      </w:pPr>
    </w:p>
    <w:p w:rsidR="00466085" w:rsidRDefault="00466085" w:rsidP="00466085">
      <w:pPr>
        <w:pStyle w:val="Numberedtext"/>
        <w:rPr>
          <w:rFonts w:eastAsiaTheme="majorEastAsia"/>
        </w:rPr>
      </w:pPr>
    </w:p>
    <w:p w:rsidR="00466085" w:rsidRDefault="00466085" w:rsidP="00466085">
      <w:pPr>
        <w:pStyle w:val="Numberedtext"/>
        <w:rPr>
          <w:rFonts w:eastAsiaTheme="majorEastAsia"/>
        </w:rPr>
      </w:pPr>
    </w:p>
    <w:p w:rsidR="00466085" w:rsidRDefault="00466085" w:rsidP="00466085">
      <w:pPr>
        <w:pStyle w:val="Numberedtext"/>
        <w:rPr>
          <w:rFonts w:eastAsiaTheme="majorEastAsia"/>
        </w:rPr>
      </w:pPr>
    </w:p>
    <w:p w:rsidR="00466085" w:rsidRDefault="00466085" w:rsidP="00466085">
      <w:pPr>
        <w:pStyle w:val="Numberedtext"/>
        <w:rPr>
          <w:rFonts w:eastAsiaTheme="majorEastAsia"/>
        </w:rPr>
      </w:pPr>
    </w:p>
    <w:p w:rsidR="00466085" w:rsidRDefault="00466085" w:rsidP="00466085">
      <w:pPr>
        <w:pStyle w:val="Numberedtext"/>
        <w:rPr>
          <w:rFonts w:eastAsiaTheme="majorEastAsia"/>
        </w:rPr>
      </w:pPr>
    </w:p>
    <w:p w:rsidR="00466085" w:rsidRDefault="00466085" w:rsidP="00466085">
      <w:pPr>
        <w:pStyle w:val="Numberedtext"/>
        <w:rPr>
          <w:rFonts w:eastAsiaTheme="majorEastAsia"/>
        </w:rPr>
      </w:pPr>
    </w:p>
    <w:p w:rsidR="00466085" w:rsidRDefault="00466085" w:rsidP="00466085">
      <w:pPr>
        <w:pStyle w:val="Numberedtext"/>
        <w:rPr>
          <w:rFonts w:eastAsiaTheme="majorEastAsia"/>
        </w:rPr>
      </w:pPr>
    </w:p>
    <w:p w:rsidR="00466085" w:rsidRDefault="00466085" w:rsidP="00466085">
      <w:pPr>
        <w:pStyle w:val="Numberedtext"/>
        <w:rPr>
          <w:rFonts w:eastAsiaTheme="majorEastAsia"/>
        </w:rPr>
      </w:pPr>
    </w:p>
    <w:p w:rsidR="00466085" w:rsidRDefault="00466085" w:rsidP="00466085">
      <w:pPr>
        <w:pStyle w:val="Numberedtext"/>
        <w:rPr>
          <w:rFonts w:eastAsiaTheme="majorEastAsia"/>
        </w:rPr>
      </w:pPr>
    </w:p>
    <w:p w:rsidR="00466085" w:rsidRDefault="00466085" w:rsidP="00466085">
      <w:pPr>
        <w:pStyle w:val="Numberedtext"/>
        <w:rPr>
          <w:rFonts w:eastAsiaTheme="majorEastAsia"/>
        </w:rPr>
      </w:pPr>
    </w:p>
    <w:p w:rsidR="00466085" w:rsidRDefault="00466085" w:rsidP="00466085">
      <w:pPr>
        <w:pStyle w:val="Numberedtext"/>
        <w:rPr>
          <w:rFonts w:eastAsiaTheme="majorEastAsia"/>
        </w:rPr>
      </w:pPr>
    </w:p>
    <w:p w:rsidR="00466085" w:rsidRDefault="00466085" w:rsidP="00466085">
      <w:pPr>
        <w:pStyle w:val="Numberedtext"/>
        <w:rPr>
          <w:rFonts w:eastAsiaTheme="majorEastAsia"/>
        </w:rPr>
      </w:pPr>
    </w:p>
    <w:p w:rsidR="00466085" w:rsidRDefault="00466085" w:rsidP="00466085">
      <w:pPr>
        <w:pStyle w:val="Numberedtext"/>
        <w:rPr>
          <w:rFonts w:eastAsiaTheme="majorEastAsia"/>
        </w:rPr>
      </w:pPr>
    </w:p>
    <w:p w:rsidR="00466085" w:rsidRDefault="00466085" w:rsidP="00466085">
      <w:pPr>
        <w:pStyle w:val="Numberedtext"/>
        <w:rPr>
          <w:rFonts w:eastAsiaTheme="majorEastAsia"/>
        </w:rPr>
      </w:pPr>
    </w:p>
    <w:p w:rsidR="00466085" w:rsidRDefault="00466085" w:rsidP="00466085">
      <w:pPr>
        <w:pStyle w:val="Numberedtext"/>
        <w:rPr>
          <w:rFonts w:eastAsiaTheme="majorEastAsia"/>
        </w:rPr>
      </w:pPr>
    </w:p>
    <w:p w:rsidR="00466085" w:rsidRDefault="00466085" w:rsidP="00466085">
      <w:pPr>
        <w:pStyle w:val="Numberedtext"/>
        <w:rPr>
          <w:rFonts w:eastAsiaTheme="majorEastAsia"/>
        </w:rPr>
      </w:pPr>
    </w:p>
    <w:p w:rsidR="00466085" w:rsidRDefault="00466085" w:rsidP="00466085">
      <w:pPr>
        <w:pStyle w:val="Numberedtext"/>
        <w:rPr>
          <w:rFonts w:eastAsiaTheme="majorEastAsia"/>
        </w:rPr>
      </w:pPr>
    </w:p>
    <w:p w:rsidR="00466085" w:rsidRDefault="00466085" w:rsidP="00466085">
      <w:pPr>
        <w:pStyle w:val="Numberedtext"/>
        <w:rPr>
          <w:rFonts w:eastAsiaTheme="majorEastAsia"/>
        </w:rPr>
      </w:pPr>
    </w:p>
    <w:p w:rsidR="00C81925" w:rsidRDefault="00C81925" w:rsidP="00466085">
      <w:pPr>
        <w:pStyle w:val="Numberedtext"/>
        <w:rPr>
          <w:rFonts w:eastAsiaTheme="majorEastAsia"/>
        </w:rPr>
      </w:pPr>
    </w:p>
    <w:p w:rsidR="00466085" w:rsidRDefault="00466085" w:rsidP="00466085">
      <w:pPr>
        <w:pStyle w:val="Numberedtext"/>
        <w:rPr>
          <w:rFonts w:eastAsiaTheme="majorEastAsia"/>
        </w:rPr>
      </w:pPr>
    </w:p>
    <w:p w:rsidR="002C2D5C" w:rsidRDefault="002C2D5C" w:rsidP="002C2D5C">
      <w:pPr>
        <w:pStyle w:val="Heading1"/>
        <w:jc w:val="both"/>
      </w:pPr>
      <w:bookmarkStart w:id="100" w:name="_Toc33015861"/>
      <w:r>
        <w:t xml:space="preserve">RQ </w:t>
      </w:r>
      <w:r w:rsidR="002A62B8">
        <w:t>2</w:t>
      </w:r>
      <w:r w:rsidR="00D272A0">
        <w:t>:</w:t>
      </w:r>
      <w:r w:rsidRPr="007C5C1C">
        <w:t xml:space="preserve"> </w:t>
      </w:r>
      <w:r>
        <w:t>Type and Size</w:t>
      </w:r>
      <w:bookmarkEnd w:id="100"/>
    </w:p>
    <w:p w:rsidR="00D272A0" w:rsidRDefault="005F54A3" w:rsidP="00D272A0">
      <w:pPr>
        <w:pStyle w:val="ListNumber"/>
        <w:numPr>
          <w:ilvl w:val="0"/>
          <w:numId w:val="0"/>
        </w:numPr>
        <w:spacing w:before="0"/>
        <w:ind w:left="425"/>
        <w:jc w:val="both"/>
        <w:rPr>
          <w:b/>
          <w:i/>
          <w:sz w:val="18"/>
          <w:szCs w:val="18"/>
        </w:rPr>
      </w:pPr>
      <w:r w:rsidRPr="00747D45">
        <w:rPr>
          <w:b/>
          <w:i/>
          <w:sz w:val="18"/>
          <w:szCs w:val="18"/>
        </w:rPr>
        <w:t xml:space="preserve">RQ </w:t>
      </w:r>
      <w:r w:rsidR="005C70C9">
        <w:rPr>
          <w:b/>
          <w:i/>
          <w:sz w:val="18"/>
          <w:szCs w:val="18"/>
        </w:rPr>
        <w:t>2</w:t>
      </w:r>
      <w:r w:rsidR="00D272A0" w:rsidRPr="00747D45">
        <w:rPr>
          <w:b/>
          <w:i/>
          <w:sz w:val="18"/>
          <w:szCs w:val="18"/>
        </w:rPr>
        <w:t xml:space="preserve">: What type (terrace, semi, bungalows, flats and detached) and size (number of </w:t>
      </w:r>
      <w:r w:rsidR="001E2B97">
        <w:rPr>
          <w:b/>
          <w:i/>
          <w:sz w:val="18"/>
          <w:szCs w:val="18"/>
        </w:rPr>
        <w:t>bed</w:t>
      </w:r>
      <w:r w:rsidR="00D272A0" w:rsidRPr="00747D45">
        <w:rPr>
          <w:b/>
          <w:i/>
          <w:sz w:val="18"/>
          <w:szCs w:val="18"/>
        </w:rPr>
        <w:t xml:space="preserve">rooms) of housing is appropriate for </w:t>
      </w:r>
      <w:r w:rsidR="005F50BC">
        <w:rPr>
          <w:b/>
          <w:i/>
          <w:sz w:val="18"/>
          <w:szCs w:val="18"/>
        </w:rPr>
        <w:t>the Plan area</w:t>
      </w:r>
      <w:r w:rsidR="00D272A0" w:rsidRPr="00747D45">
        <w:rPr>
          <w:b/>
          <w:i/>
          <w:sz w:val="18"/>
          <w:szCs w:val="18"/>
        </w:rPr>
        <w:t xml:space="preserve"> over the Neighbourhood Plan period?</w:t>
      </w:r>
    </w:p>
    <w:p w:rsidR="008411EA" w:rsidRPr="008411EA" w:rsidRDefault="008411EA" w:rsidP="008411EA">
      <w:pPr>
        <w:pStyle w:val="Heading2"/>
        <w:keepNext w:val="0"/>
        <w:keepLines w:val="0"/>
        <w:widowControl w:val="0"/>
        <w:ind w:left="993"/>
        <w:jc w:val="both"/>
      </w:pPr>
      <w:bookmarkStart w:id="101" w:name="_Toc33015862"/>
      <w:r w:rsidRPr="00883E5F">
        <w:t>Introduction</w:t>
      </w:r>
      <w:bookmarkEnd w:id="101"/>
    </w:p>
    <w:p w:rsidR="008411EA" w:rsidRPr="008411EA" w:rsidRDefault="008411EA" w:rsidP="002C2D5C">
      <w:pPr>
        <w:pStyle w:val="ListNumber"/>
        <w:spacing w:before="0"/>
        <w:jc w:val="both"/>
        <w:rPr>
          <w:rFonts w:asciiTheme="majorHAnsi" w:eastAsiaTheme="majorEastAsia" w:hAnsiTheme="majorHAnsi" w:cstheme="majorBidi"/>
          <w:b/>
          <w:bCs/>
          <w:color w:val="00B5E2" w:themeColor="accent1"/>
          <w:sz w:val="18"/>
          <w:szCs w:val="18"/>
          <w:lang w:val="en-GB"/>
        </w:rPr>
      </w:pPr>
      <w:r>
        <w:rPr>
          <w:sz w:val="18"/>
          <w:szCs w:val="18"/>
          <w:lang w:val="en-GB"/>
        </w:rPr>
        <w:t xml:space="preserve">The </w:t>
      </w:r>
      <w:r w:rsidR="005C70C9">
        <w:rPr>
          <w:sz w:val="18"/>
          <w:szCs w:val="18"/>
          <w:lang w:val="en-GB"/>
        </w:rPr>
        <w:t>Reedham</w:t>
      </w:r>
      <w:r>
        <w:rPr>
          <w:sz w:val="18"/>
          <w:szCs w:val="18"/>
          <w:lang w:val="en-GB"/>
        </w:rPr>
        <w:t xml:space="preserve"> Neighbourhood Plan </w:t>
      </w:r>
      <w:r w:rsidR="004D35D9">
        <w:rPr>
          <w:sz w:val="18"/>
          <w:szCs w:val="18"/>
          <w:lang w:val="en-GB"/>
        </w:rPr>
        <w:t>may benefit from</w:t>
      </w:r>
      <w:r>
        <w:rPr>
          <w:sz w:val="18"/>
          <w:szCs w:val="18"/>
          <w:lang w:val="en-GB"/>
        </w:rPr>
        <w:t xml:space="preserve"> policies informed by </w:t>
      </w:r>
      <w:r w:rsidR="0063091D">
        <w:rPr>
          <w:sz w:val="18"/>
          <w:szCs w:val="18"/>
          <w:lang w:val="en-GB"/>
        </w:rPr>
        <w:t>evidence</w:t>
      </w:r>
      <w:r>
        <w:rPr>
          <w:sz w:val="18"/>
          <w:szCs w:val="18"/>
          <w:lang w:val="en-GB"/>
        </w:rPr>
        <w:t xml:space="preserve"> on </w:t>
      </w:r>
      <w:r w:rsidRPr="008411EA">
        <w:rPr>
          <w:sz w:val="18"/>
          <w:szCs w:val="18"/>
          <w:lang w:val="en-GB"/>
        </w:rPr>
        <w:t>what size</w:t>
      </w:r>
      <w:r>
        <w:rPr>
          <w:sz w:val="18"/>
          <w:szCs w:val="18"/>
          <w:lang w:val="en-GB"/>
        </w:rPr>
        <w:t>s</w:t>
      </w:r>
      <w:r w:rsidRPr="008411EA">
        <w:rPr>
          <w:sz w:val="18"/>
          <w:szCs w:val="18"/>
          <w:lang w:val="en-GB"/>
        </w:rPr>
        <w:t xml:space="preserve"> and type</w:t>
      </w:r>
      <w:r>
        <w:rPr>
          <w:sz w:val="18"/>
          <w:szCs w:val="18"/>
          <w:lang w:val="en-GB"/>
        </w:rPr>
        <w:t>s</w:t>
      </w:r>
      <w:r w:rsidRPr="008411EA">
        <w:rPr>
          <w:sz w:val="18"/>
          <w:szCs w:val="18"/>
          <w:lang w:val="en-GB"/>
        </w:rPr>
        <w:t xml:space="preserve"> of housing would be best suited to the local community. </w:t>
      </w:r>
      <w:r>
        <w:rPr>
          <w:sz w:val="18"/>
          <w:szCs w:val="18"/>
          <w:lang w:val="en-GB"/>
        </w:rPr>
        <w:t>This will help ensure that f</w:t>
      </w:r>
      <w:r w:rsidRPr="008411EA">
        <w:rPr>
          <w:sz w:val="18"/>
          <w:szCs w:val="18"/>
          <w:lang w:val="en-GB"/>
        </w:rPr>
        <w:t xml:space="preserve">uture developments give local people </w:t>
      </w:r>
      <w:r w:rsidR="0063091D">
        <w:rPr>
          <w:sz w:val="18"/>
          <w:szCs w:val="18"/>
          <w:lang w:val="en-GB"/>
        </w:rPr>
        <w:t xml:space="preserve">options within the housing market </w:t>
      </w:r>
      <w:r w:rsidRPr="008411EA">
        <w:rPr>
          <w:sz w:val="18"/>
          <w:szCs w:val="18"/>
          <w:lang w:val="en-GB"/>
        </w:rPr>
        <w:t>at all stages of life.</w:t>
      </w:r>
    </w:p>
    <w:p w:rsidR="002C2D5C" w:rsidRPr="008411EA" w:rsidRDefault="002C2D5C" w:rsidP="002C2D5C">
      <w:pPr>
        <w:pStyle w:val="ListNumber"/>
        <w:spacing w:before="0"/>
        <w:jc w:val="both"/>
        <w:rPr>
          <w:rFonts w:asciiTheme="majorHAnsi" w:eastAsiaTheme="majorEastAsia" w:hAnsiTheme="majorHAnsi" w:cstheme="majorBidi"/>
          <w:b/>
          <w:bCs/>
          <w:color w:val="00B5E2" w:themeColor="accent1"/>
          <w:sz w:val="18"/>
          <w:szCs w:val="18"/>
          <w:lang w:val="en-GB"/>
        </w:rPr>
      </w:pPr>
      <w:r w:rsidRPr="008411EA">
        <w:rPr>
          <w:sz w:val="18"/>
          <w:szCs w:val="18"/>
          <w:lang w:val="en-GB"/>
        </w:rPr>
        <w:t>PPG recommends a consideration of the existing housing provision and its suitability, having regard to demographic shifts in age and household composition, to address future, as well as current community</w:t>
      </w:r>
      <w:r w:rsidR="008411EA">
        <w:rPr>
          <w:sz w:val="18"/>
          <w:szCs w:val="18"/>
          <w:lang w:val="en-GB"/>
        </w:rPr>
        <w:t xml:space="preserve"> need. For this reason, we firstly consider the type and size of </w:t>
      </w:r>
      <w:r w:rsidRPr="008411EA">
        <w:rPr>
          <w:sz w:val="18"/>
          <w:szCs w:val="18"/>
          <w:lang w:val="en-GB"/>
        </w:rPr>
        <w:t xml:space="preserve">the existing housing stock in </w:t>
      </w:r>
      <w:r w:rsidR="005C70C9">
        <w:rPr>
          <w:sz w:val="18"/>
          <w:szCs w:val="18"/>
          <w:lang w:val="en-GB"/>
        </w:rPr>
        <w:t>Reedham</w:t>
      </w:r>
      <w:r w:rsidRPr="008411EA">
        <w:rPr>
          <w:sz w:val="18"/>
          <w:szCs w:val="18"/>
          <w:lang w:val="en-GB"/>
        </w:rPr>
        <w:t xml:space="preserve">. Demographic shifts in age and household composition will then be considered. Finally, the future demand for housing by size and type </w:t>
      </w:r>
      <w:r w:rsidR="0063091D">
        <w:rPr>
          <w:sz w:val="18"/>
          <w:szCs w:val="18"/>
          <w:lang w:val="en-GB"/>
        </w:rPr>
        <w:t>is</w:t>
      </w:r>
      <w:r w:rsidRPr="008411EA">
        <w:rPr>
          <w:sz w:val="18"/>
          <w:szCs w:val="18"/>
          <w:lang w:val="en-GB"/>
        </w:rPr>
        <w:t xml:space="preserve"> determined by the way different household types currently occupy their dwellings in the LPA</w:t>
      </w:r>
      <w:r w:rsidR="008411EA">
        <w:rPr>
          <w:sz w:val="18"/>
          <w:szCs w:val="18"/>
          <w:lang w:val="en-GB"/>
        </w:rPr>
        <w:t xml:space="preserve">, and then applying demographic projections of how </w:t>
      </w:r>
      <w:r w:rsidR="005F50BC">
        <w:rPr>
          <w:sz w:val="18"/>
          <w:szCs w:val="18"/>
          <w:lang w:val="en-GB"/>
        </w:rPr>
        <w:t xml:space="preserve">the </w:t>
      </w:r>
      <w:r w:rsidR="00703761">
        <w:rPr>
          <w:sz w:val="18"/>
          <w:szCs w:val="18"/>
          <w:lang w:val="en-GB"/>
        </w:rPr>
        <w:t xml:space="preserve">Neighbourhood </w:t>
      </w:r>
      <w:r w:rsidR="005F50BC">
        <w:rPr>
          <w:sz w:val="18"/>
          <w:szCs w:val="18"/>
          <w:lang w:val="en-GB"/>
        </w:rPr>
        <w:t>Plan area</w:t>
      </w:r>
      <w:r w:rsidR="008411EA">
        <w:rPr>
          <w:sz w:val="18"/>
          <w:szCs w:val="18"/>
          <w:lang w:val="en-GB"/>
        </w:rPr>
        <w:t xml:space="preserve"> population is likely to change by the end of the Plan period.</w:t>
      </w:r>
    </w:p>
    <w:p w:rsidR="008411EA" w:rsidRDefault="008411EA" w:rsidP="008411EA">
      <w:pPr>
        <w:pStyle w:val="Heading2"/>
        <w:jc w:val="both"/>
      </w:pPr>
      <w:bookmarkStart w:id="102" w:name="_Toc33015863"/>
      <w:r w:rsidRPr="003A5666">
        <w:t>Existing types and sizes</w:t>
      </w:r>
      <w:bookmarkEnd w:id="102"/>
    </w:p>
    <w:p w:rsidR="00AE758B" w:rsidRPr="00AE758B" w:rsidRDefault="00AE758B" w:rsidP="00AE758B">
      <w:pPr>
        <w:pStyle w:val="Heading3"/>
      </w:pPr>
      <w:bookmarkStart w:id="103" w:name="_Toc33015864"/>
      <w:r>
        <w:t>Background and definitions</w:t>
      </w:r>
      <w:bookmarkEnd w:id="103"/>
    </w:p>
    <w:p w:rsidR="008411EA" w:rsidRPr="008411EA" w:rsidRDefault="008411EA" w:rsidP="008411EA">
      <w:pPr>
        <w:pStyle w:val="ListNumber"/>
        <w:widowControl w:val="0"/>
        <w:spacing w:before="0"/>
        <w:jc w:val="both"/>
        <w:rPr>
          <w:sz w:val="18"/>
          <w:szCs w:val="18"/>
          <w:lang w:val="en-GB"/>
        </w:rPr>
      </w:pPr>
      <w:r w:rsidRPr="008411EA">
        <w:rPr>
          <w:sz w:val="18"/>
          <w:szCs w:val="18"/>
          <w:lang w:val="en-GB"/>
        </w:rPr>
        <w:t>Before beginning our consideration of dwelling type and size, it is important to understand how different types of households occupy their homes. Crucially, and unsurprisingly, household ‘consumption’ of housing (in terms of housing size) tends to increase alongside wages, with the highest earning households consuming relatively more (i.e. larger) housing than those on lower incomes. Similarly, housing consumption tends to increase, alongside wealth, income, and age, such that older households tend to have larger homes than younger households, often as a result of cost and affordability.</w:t>
      </w:r>
    </w:p>
    <w:p w:rsidR="008411EA" w:rsidRPr="008411EA" w:rsidRDefault="008411EA" w:rsidP="008411EA">
      <w:pPr>
        <w:pStyle w:val="ListNumber"/>
        <w:widowControl w:val="0"/>
        <w:spacing w:before="0"/>
        <w:jc w:val="both"/>
        <w:rPr>
          <w:sz w:val="18"/>
          <w:szCs w:val="18"/>
          <w:lang w:val="en-GB"/>
        </w:rPr>
      </w:pPr>
      <w:r w:rsidRPr="008411EA">
        <w:rPr>
          <w:sz w:val="18"/>
          <w:szCs w:val="18"/>
          <w:lang w:val="en-GB"/>
        </w:rPr>
        <w:t xml:space="preserve">In this context, even smaller households (those with fewer than three inhabitants) may be able to choose to live in larger homes than they require, and would be defined in Census terms as under-occupying their homes. This is a natural feature of the housing market, and can distort considerations of future housing needs, with market dynamics and signals giving a very different picture </w:t>
      </w:r>
      <w:r w:rsidR="0063091D">
        <w:rPr>
          <w:sz w:val="18"/>
          <w:szCs w:val="18"/>
          <w:lang w:val="en-GB"/>
        </w:rPr>
        <w:t>to</w:t>
      </w:r>
      <w:r w:rsidR="0063091D" w:rsidRPr="008411EA">
        <w:rPr>
          <w:sz w:val="18"/>
          <w:szCs w:val="18"/>
          <w:lang w:val="en-GB"/>
        </w:rPr>
        <w:t xml:space="preserve"> </w:t>
      </w:r>
      <w:r w:rsidRPr="008411EA">
        <w:rPr>
          <w:sz w:val="18"/>
          <w:szCs w:val="18"/>
          <w:lang w:val="en-GB"/>
        </w:rPr>
        <w:t>demographics, household type and size.</w:t>
      </w:r>
    </w:p>
    <w:p w:rsidR="008411EA" w:rsidRPr="008411EA" w:rsidRDefault="008411EA" w:rsidP="008411EA">
      <w:pPr>
        <w:pStyle w:val="ListNumber"/>
        <w:widowControl w:val="0"/>
        <w:spacing w:before="0"/>
        <w:jc w:val="both"/>
        <w:rPr>
          <w:sz w:val="18"/>
          <w:szCs w:val="18"/>
          <w:lang w:val="en-GB"/>
        </w:rPr>
      </w:pPr>
      <w:r w:rsidRPr="008411EA">
        <w:rPr>
          <w:sz w:val="18"/>
          <w:szCs w:val="18"/>
          <w:lang w:val="en-GB"/>
        </w:rPr>
        <w:t xml:space="preserve">In order to understand the terminology surrounding dwelling size analysis, it is important to note that the number of rooms recorded in Census data excludes some rooms such as bathrooms, toilets and halls. Dwelling size data is collected by determining the number of rooms being occupied by each household. In the section that follows, ‘dwelling sizes’ </w:t>
      </w:r>
      <w:r w:rsidR="00915935">
        <w:rPr>
          <w:sz w:val="18"/>
          <w:szCs w:val="18"/>
          <w:lang w:val="en-GB"/>
        </w:rPr>
        <w:t>can</w:t>
      </w:r>
      <w:r w:rsidRPr="008411EA">
        <w:rPr>
          <w:sz w:val="18"/>
          <w:szCs w:val="18"/>
          <w:lang w:val="en-GB"/>
        </w:rPr>
        <w:t xml:space="preserve"> be translated as follows</w:t>
      </w:r>
      <w:r w:rsidRPr="008411EA">
        <w:rPr>
          <w:rStyle w:val="FootnoteReference"/>
          <w:rFonts w:ascii="Arial" w:hAnsi="Arial"/>
          <w:color w:val="000000" w:themeColor="text1"/>
          <w:sz w:val="18"/>
          <w:szCs w:val="18"/>
          <w:lang w:val="en-GB"/>
        </w:rPr>
        <w:footnoteReference w:id="24"/>
      </w:r>
      <w:r w:rsidRPr="008411EA">
        <w:rPr>
          <w:sz w:val="18"/>
          <w:szCs w:val="18"/>
          <w:lang w:val="en-GB"/>
        </w:rPr>
        <w:t>:</w:t>
      </w:r>
    </w:p>
    <w:p w:rsidR="008411EA" w:rsidRPr="008411EA" w:rsidRDefault="008411EA" w:rsidP="008411EA">
      <w:pPr>
        <w:pStyle w:val="ListBullet"/>
        <w:widowControl w:val="0"/>
        <w:spacing w:before="0" w:after="0" w:line="240" w:lineRule="atLeast"/>
        <w:jc w:val="both"/>
        <w:rPr>
          <w:sz w:val="18"/>
          <w:szCs w:val="18"/>
        </w:rPr>
      </w:pPr>
      <w:r w:rsidRPr="008411EA">
        <w:rPr>
          <w:sz w:val="18"/>
          <w:szCs w:val="18"/>
        </w:rPr>
        <w:t>1 room = bedsit</w:t>
      </w:r>
    </w:p>
    <w:p w:rsidR="008411EA" w:rsidRPr="008411EA" w:rsidRDefault="008411EA" w:rsidP="008411EA">
      <w:pPr>
        <w:pStyle w:val="ListBullet"/>
        <w:widowControl w:val="0"/>
        <w:spacing w:before="0" w:after="0" w:line="240" w:lineRule="atLeast"/>
        <w:jc w:val="both"/>
        <w:rPr>
          <w:sz w:val="18"/>
          <w:szCs w:val="18"/>
        </w:rPr>
      </w:pPr>
      <w:r w:rsidRPr="008411EA">
        <w:rPr>
          <w:sz w:val="18"/>
          <w:szCs w:val="18"/>
        </w:rPr>
        <w:t>2 rooms = flat/house with one bedroom and a reception room/kitchen</w:t>
      </w:r>
    </w:p>
    <w:p w:rsidR="008411EA" w:rsidRPr="008411EA" w:rsidRDefault="008411EA" w:rsidP="008411EA">
      <w:pPr>
        <w:pStyle w:val="ListBullet"/>
        <w:widowControl w:val="0"/>
        <w:spacing w:before="0" w:after="0" w:line="240" w:lineRule="atLeast"/>
        <w:jc w:val="both"/>
        <w:rPr>
          <w:sz w:val="18"/>
          <w:szCs w:val="18"/>
        </w:rPr>
      </w:pPr>
      <w:r w:rsidRPr="008411EA">
        <w:rPr>
          <w:sz w:val="18"/>
          <w:szCs w:val="18"/>
        </w:rPr>
        <w:t>3 rooms = flat/house 1-2 bedrooms and one reception room and/or kitchen</w:t>
      </w:r>
    </w:p>
    <w:p w:rsidR="008411EA" w:rsidRPr="008411EA" w:rsidRDefault="008411EA" w:rsidP="008411EA">
      <w:pPr>
        <w:pStyle w:val="ListBullet"/>
        <w:widowControl w:val="0"/>
        <w:spacing w:before="0" w:after="0" w:line="240" w:lineRule="atLeast"/>
        <w:jc w:val="both"/>
        <w:rPr>
          <w:sz w:val="18"/>
          <w:szCs w:val="18"/>
        </w:rPr>
      </w:pPr>
      <w:r w:rsidRPr="008411EA">
        <w:rPr>
          <w:sz w:val="18"/>
          <w:szCs w:val="18"/>
        </w:rPr>
        <w:t>4 rooms = flat/house with 2 bedroom, one reception room and one kitchen</w:t>
      </w:r>
    </w:p>
    <w:p w:rsidR="008411EA" w:rsidRPr="008411EA" w:rsidRDefault="008411EA" w:rsidP="008411EA">
      <w:pPr>
        <w:pStyle w:val="ListBullet"/>
        <w:widowControl w:val="0"/>
        <w:spacing w:before="0" w:after="0" w:line="240" w:lineRule="atLeast"/>
        <w:jc w:val="both"/>
        <w:rPr>
          <w:sz w:val="18"/>
          <w:szCs w:val="18"/>
        </w:rPr>
      </w:pPr>
      <w:r w:rsidRPr="008411EA">
        <w:rPr>
          <w:sz w:val="18"/>
          <w:szCs w:val="18"/>
        </w:rPr>
        <w:t>5 rooms = flat/house with 3 bedrooms, one reception room and one kitchen</w:t>
      </w:r>
    </w:p>
    <w:p w:rsidR="008411EA" w:rsidRPr="008411EA" w:rsidRDefault="008411EA" w:rsidP="008411EA">
      <w:pPr>
        <w:pStyle w:val="ListBullet"/>
        <w:widowControl w:val="0"/>
        <w:spacing w:before="0" w:after="0" w:line="240" w:lineRule="atLeast"/>
        <w:jc w:val="both"/>
        <w:rPr>
          <w:sz w:val="18"/>
          <w:szCs w:val="18"/>
        </w:rPr>
      </w:pPr>
      <w:r w:rsidRPr="008411EA">
        <w:rPr>
          <w:sz w:val="18"/>
          <w:szCs w:val="18"/>
        </w:rPr>
        <w:t xml:space="preserve">6 rooms = house with </w:t>
      </w:r>
      <w:r w:rsidR="006F668D">
        <w:rPr>
          <w:sz w:val="18"/>
          <w:szCs w:val="18"/>
        </w:rPr>
        <w:t>3</w:t>
      </w:r>
      <w:r w:rsidRPr="008411EA">
        <w:rPr>
          <w:sz w:val="18"/>
          <w:szCs w:val="18"/>
        </w:rPr>
        <w:t xml:space="preserve"> bedrooms and 2 reception rooms and a kitchen, or </w:t>
      </w:r>
      <w:r w:rsidR="006F668D">
        <w:rPr>
          <w:sz w:val="18"/>
          <w:szCs w:val="18"/>
        </w:rPr>
        <w:t>4</w:t>
      </w:r>
      <w:r w:rsidRPr="008411EA">
        <w:rPr>
          <w:sz w:val="18"/>
          <w:szCs w:val="18"/>
        </w:rPr>
        <w:t xml:space="preserve"> bedrooms and one reception room and a kitchen</w:t>
      </w:r>
    </w:p>
    <w:p w:rsidR="008411EA" w:rsidRDefault="008411EA" w:rsidP="008411EA">
      <w:pPr>
        <w:pStyle w:val="ListBullet"/>
        <w:widowControl w:val="0"/>
        <w:spacing w:before="0" w:after="0" w:line="240" w:lineRule="atLeast"/>
        <w:jc w:val="both"/>
        <w:rPr>
          <w:sz w:val="18"/>
          <w:szCs w:val="18"/>
        </w:rPr>
      </w:pPr>
      <w:r w:rsidRPr="008411EA">
        <w:rPr>
          <w:sz w:val="18"/>
          <w:szCs w:val="18"/>
        </w:rPr>
        <w:t>7+ rooms = house with 4 or more bedrooms</w:t>
      </w:r>
    </w:p>
    <w:p w:rsidR="008411EA" w:rsidRPr="008411EA" w:rsidRDefault="008411EA" w:rsidP="008411EA">
      <w:pPr>
        <w:pStyle w:val="ListBullet"/>
        <w:widowControl w:val="0"/>
        <w:numPr>
          <w:ilvl w:val="0"/>
          <w:numId w:val="0"/>
        </w:numPr>
        <w:spacing w:before="0" w:after="0" w:line="240" w:lineRule="atLeast"/>
        <w:ind w:left="1145"/>
        <w:jc w:val="both"/>
        <w:rPr>
          <w:sz w:val="18"/>
          <w:szCs w:val="18"/>
        </w:rPr>
      </w:pPr>
    </w:p>
    <w:p w:rsidR="008411EA" w:rsidRPr="00F14646" w:rsidRDefault="008411EA" w:rsidP="008411EA">
      <w:pPr>
        <w:pStyle w:val="ListNumber"/>
        <w:widowControl w:val="0"/>
        <w:spacing w:before="0"/>
        <w:jc w:val="both"/>
        <w:rPr>
          <w:sz w:val="18"/>
          <w:szCs w:val="18"/>
          <w:lang w:val="en-GB"/>
        </w:rPr>
      </w:pPr>
      <w:r w:rsidRPr="00F14646">
        <w:rPr>
          <w:sz w:val="18"/>
          <w:szCs w:val="18"/>
          <w:lang w:val="en-GB"/>
        </w:rPr>
        <w:t xml:space="preserve">It is also useful to clarify the Census terminology around dwellings and households spaces. These can be confusing where different terminologies such as flats, apartments, shared and communal dwellings, and houses in multiple occupation, are used. Dwellings are counted in the Census by combining address information with Census returns on </w:t>
      </w:r>
      <w:r w:rsidRPr="00F14646">
        <w:rPr>
          <w:sz w:val="18"/>
          <w:szCs w:val="18"/>
          <w:lang w:val="en-GB"/>
        </w:rPr>
        <w:lastRenderedPageBreak/>
        <w:t>whether people’s accommodation is self-contained.</w:t>
      </w:r>
      <w:r w:rsidRPr="00F14646">
        <w:rPr>
          <w:sz w:val="18"/>
          <w:szCs w:val="18"/>
          <w:vertAlign w:val="superscript"/>
          <w:lang w:val="en-GB"/>
        </w:rPr>
        <w:footnoteReference w:id="25"/>
      </w:r>
      <w:r w:rsidR="00F14646">
        <w:rPr>
          <w:sz w:val="18"/>
          <w:szCs w:val="18"/>
          <w:lang w:val="en-GB"/>
        </w:rPr>
        <w:t xml:space="preserve"> </w:t>
      </w:r>
      <w:r w:rsidRPr="00F14646">
        <w:rPr>
          <w:sz w:val="18"/>
          <w:szCs w:val="18"/>
          <w:lang w:val="en-GB"/>
        </w:rPr>
        <w:t xml:space="preserve">As such, all dwellings are classified into either “shared” or “unshared” dwellings.  Household spaces make up the individual accommodation units forming part of a shared dwelling. </w:t>
      </w:r>
    </w:p>
    <w:p w:rsidR="008411EA" w:rsidRPr="00F14646" w:rsidRDefault="008411EA" w:rsidP="00F14646">
      <w:pPr>
        <w:pStyle w:val="ListNumber"/>
        <w:widowControl w:val="0"/>
        <w:spacing w:before="0"/>
        <w:jc w:val="both"/>
        <w:rPr>
          <w:sz w:val="18"/>
          <w:szCs w:val="18"/>
          <w:lang w:val="en-GB"/>
        </w:rPr>
      </w:pPr>
      <w:r w:rsidRPr="00F14646">
        <w:rPr>
          <w:sz w:val="18"/>
          <w:szCs w:val="18"/>
          <w:lang w:val="en-GB"/>
        </w:rPr>
        <w:t>The key measure of whether a dwelling is shared or unshared relates to the Census’ definition of a household. A household is defined as “</w:t>
      </w:r>
      <w:r w:rsidRPr="00F14646">
        <w:rPr>
          <w:i/>
          <w:sz w:val="18"/>
          <w:szCs w:val="18"/>
          <w:lang w:val="en-GB"/>
        </w:rPr>
        <w:t>One person living alone or a group of people (not necessarily related) living at the same address who share cooking facilities and share a living room or sitting room or dining area.</w:t>
      </w:r>
      <w:r w:rsidRPr="00F14646">
        <w:rPr>
          <w:sz w:val="18"/>
          <w:szCs w:val="18"/>
          <w:lang w:val="en-GB"/>
        </w:rPr>
        <w:t>”</w:t>
      </w:r>
      <w:r w:rsidRPr="00F14646">
        <w:rPr>
          <w:sz w:val="18"/>
          <w:szCs w:val="18"/>
          <w:vertAlign w:val="superscript"/>
          <w:lang w:val="en-GB"/>
        </w:rPr>
        <w:footnoteReference w:id="26"/>
      </w:r>
      <w:r w:rsidRPr="00F14646">
        <w:rPr>
          <w:sz w:val="18"/>
          <w:szCs w:val="18"/>
          <w:lang w:val="en-GB"/>
        </w:rPr>
        <w:t xml:space="preserve"> On this basis, where unrelated </w:t>
      </w:r>
      <w:r w:rsidRPr="00F14646">
        <w:rPr>
          <w:i/>
          <w:sz w:val="18"/>
          <w:szCs w:val="18"/>
          <w:lang w:val="en-GB"/>
        </w:rPr>
        <w:t>residents</w:t>
      </w:r>
      <w:r w:rsidRPr="00F14646">
        <w:rPr>
          <w:sz w:val="18"/>
          <w:szCs w:val="18"/>
          <w:lang w:val="en-GB"/>
        </w:rPr>
        <w:t xml:space="preserve"> of a dwelling share rooms other than a kitchen, this would be considered a single household in an unshared dwelling, whilst where only a kitchen is shared, each resident would be considered their own household, and the dwelling would be considered shared.</w:t>
      </w:r>
    </w:p>
    <w:p w:rsidR="00F14646" w:rsidRPr="00F14646" w:rsidRDefault="00784F10" w:rsidP="00F14646">
      <w:pPr>
        <w:pStyle w:val="Heading3"/>
      </w:pPr>
      <w:bookmarkStart w:id="104" w:name="_Toc33015865"/>
      <w:r>
        <w:t>Dwelling t</w:t>
      </w:r>
      <w:r w:rsidR="00F14646">
        <w:t>ype</w:t>
      </w:r>
      <w:bookmarkEnd w:id="104"/>
    </w:p>
    <w:p w:rsidR="002C2D5C" w:rsidRPr="008411EA" w:rsidRDefault="002C2D5C" w:rsidP="002C2D5C">
      <w:pPr>
        <w:pStyle w:val="ListNumber"/>
        <w:widowControl w:val="0"/>
        <w:jc w:val="both"/>
        <w:rPr>
          <w:sz w:val="18"/>
          <w:szCs w:val="18"/>
        </w:rPr>
      </w:pPr>
      <w:r w:rsidRPr="008411EA">
        <w:rPr>
          <w:sz w:val="18"/>
          <w:szCs w:val="18"/>
        </w:rPr>
        <w:t xml:space="preserve">The 2011 Census shows that there were </w:t>
      </w:r>
      <w:r w:rsidR="005C70C9">
        <w:rPr>
          <w:sz w:val="18"/>
          <w:szCs w:val="18"/>
        </w:rPr>
        <w:t>550</w:t>
      </w:r>
      <w:r w:rsidRPr="008411EA">
        <w:rPr>
          <w:sz w:val="18"/>
          <w:szCs w:val="18"/>
        </w:rPr>
        <w:t xml:space="preserve"> households in </w:t>
      </w:r>
      <w:r w:rsidR="005C70C9">
        <w:rPr>
          <w:sz w:val="18"/>
          <w:szCs w:val="18"/>
        </w:rPr>
        <w:t>Reedham</w:t>
      </w:r>
      <w:r w:rsidRPr="008411EA">
        <w:rPr>
          <w:sz w:val="18"/>
          <w:szCs w:val="18"/>
        </w:rPr>
        <w:t xml:space="preserve">, living in </w:t>
      </w:r>
      <w:r w:rsidR="005C70C9">
        <w:rPr>
          <w:sz w:val="18"/>
          <w:szCs w:val="18"/>
        </w:rPr>
        <w:t>255</w:t>
      </w:r>
      <w:r w:rsidRPr="008411EA">
        <w:rPr>
          <w:sz w:val="18"/>
          <w:szCs w:val="18"/>
        </w:rPr>
        <w:t xml:space="preserve"> detached houses, </w:t>
      </w:r>
      <w:r w:rsidR="005C70C9">
        <w:rPr>
          <w:sz w:val="18"/>
          <w:szCs w:val="18"/>
        </w:rPr>
        <w:t>230</w:t>
      </w:r>
      <w:r w:rsidRPr="008411EA">
        <w:rPr>
          <w:sz w:val="18"/>
          <w:szCs w:val="18"/>
        </w:rPr>
        <w:t xml:space="preserve"> semi-detached, </w:t>
      </w:r>
      <w:r w:rsidR="005C70C9">
        <w:rPr>
          <w:sz w:val="18"/>
          <w:szCs w:val="18"/>
        </w:rPr>
        <w:t>52</w:t>
      </w:r>
      <w:r w:rsidRPr="008411EA">
        <w:rPr>
          <w:sz w:val="18"/>
          <w:szCs w:val="18"/>
        </w:rPr>
        <w:t xml:space="preserve"> terraced houses, and </w:t>
      </w:r>
      <w:r w:rsidR="000464DF">
        <w:rPr>
          <w:sz w:val="18"/>
          <w:szCs w:val="18"/>
        </w:rPr>
        <w:t>10</w:t>
      </w:r>
      <w:r w:rsidRPr="008411EA">
        <w:rPr>
          <w:sz w:val="18"/>
          <w:szCs w:val="18"/>
        </w:rPr>
        <w:t xml:space="preserve"> flats. </w:t>
      </w:r>
      <w:r w:rsidR="005C70C9">
        <w:rPr>
          <w:sz w:val="18"/>
          <w:szCs w:val="18"/>
        </w:rPr>
        <w:t>Reedham</w:t>
      </w:r>
      <w:r w:rsidRPr="008411EA">
        <w:rPr>
          <w:sz w:val="18"/>
          <w:szCs w:val="18"/>
        </w:rPr>
        <w:t xml:space="preserve"> is characterised by </w:t>
      </w:r>
      <w:r w:rsidR="00CE0C77">
        <w:rPr>
          <w:sz w:val="18"/>
          <w:szCs w:val="18"/>
        </w:rPr>
        <w:t>a similar amount of detached</w:t>
      </w:r>
      <w:r w:rsidR="009F213A">
        <w:rPr>
          <w:sz w:val="18"/>
          <w:szCs w:val="18"/>
        </w:rPr>
        <w:t>, semi-detached and terraced</w:t>
      </w:r>
      <w:r w:rsidR="00CE0C77">
        <w:rPr>
          <w:sz w:val="18"/>
          <w:szCs w:val="18"/>
        </w:rPr>
        <w:t xml:space="preserve"> homes as Broadland</w:t>
      </w:r>
      <w:r w:rsidR="009F213A">
        <w:rPr>
          <w:sz w:val="18"/>
          <w:szCs w:val="18"/>
        </w:rPr>
        <w:t>. Reedham has few purpose-built block</w:t>
      </w:r>
      <w:r w:rsidR="003743EB">
        <w:rPr>
          <w:sz w:val="18"/>
          <w:szCs w:val="18"/>
        </w:rPr>
        <w:t>s</w:t>
      </w:r>
      <w:r w:rsidR="009F213A">
        <w:rPr>
          <w:sz w:val="18"/>
          <w:szCs w:val="18"/>
        </w:rPr>
        <w:t xml:space="preserve"> of flats or tenement compared to Broadland</w:t>
      </w:r>
      <w:r w:rsidR="00A95EAC">
        <w:rPr>
          <w:sz w:val="18"/>
          <w:szCs w:val="18"/>
        </w:rPr>
        <w:t xml:space="preserve">, however, Reedham has a larger percentage of converted or shared houses compared to Broadland. Broadland and Reedham have the same percentage of flats, </w:t>
      </w:r>
      <w:proofErr w:type="spellStart"/>
      <w:r w:rsidR="00A95EAC">
        <w:rPr>
          <w:sz w:val="18"/>
          <w:szCs w:val="18"/>
        </w:rPr>
        <w:t>maisonettes</w:t>
      </w:r>
      <w:proofErr w:type="spellEnd"/>
      <w:r w:rsidR="00A95EAC">
        <w:rPr>
          <w:sz w:val="18"/>
          <w:szCs w:val="18"/>
        </w:rPr>
        <w:t xml:space="preserve"> or apartments in commercial buildings</w:t>
      </w:r>
      <w:r w:rsidRPr="008411EA">
        <w:rPr>
          <w:sz w:val="18"/>
          <w:szCs w:val="18"/>
        </w:rPr>
        <w:t xml:space="preserve"> </w:t>
      </w:r>
      <w:r w:rsidR="00730887">
        <w:rPr>
          <w:sz w:val="18"/>
          <w:szCs w:val="18"/>
        </w:rPr>
        <w:t xml:space="preserve">overall </w:t>
      </w:r>
      <w:r w:rsidRPr="008411EA">
        <w:rPr>
          <w:sz w:val="18"/>
          <w:szCs w:val="18"/>
        </w:rPr>
        <w:t xml:space="preserve">(see </w:t>
      </w:r>
      <w:fldSimple w:instr=" REF _Ref2598088 \h  \* MERGEFORMAT ">
        <w:r w:rsidR="00E14AFB" w:rsidRPr="002D4F56">
          <w:rPr>
            <w:sz w:val="18"/>
            <w:szCs w:val="18"/>
          </w:rPr>
          <w:t xml:space="preserve">Table </w:t>
        </w:r>
        <w:r w:rsidR="00E14AFB">
          <w:rPr>
            <w:noProof/>
            <w:sz w:val="18"/>
            <w:szCs w:val="18"/>
          </w:rPr>
          <w:t>6</w:t>
        </w:r>
        <w:r w:rsidR="00E14AFB" w:rsidRPr="002D4F56">
          <w:rPr>
            <w:noProof/>
            <w:sz w:val="18"/>
            <w:szCs w:val="18"/>
          </w:rPr>
          <w:noBreakHyphen/>
        </w:r>
        <w:r w:rsidR="00E14AFB">
          <w:rPr>
            <w:noProof/>
            <w:sz w:val="18"/>
            <w:szCs w:val="18"/>
          </w:rPr>
          <w:t>1</w:t>
        </w:r>
      </w:fldSimple>
      <w:r w:rsidRPr="008411EA">
        <w:rPr>
          <w:sz w:val="18"/>
          <w:szCs w:val="18"/>
        </w:rPr>
        <w:t xml:space="preserve"> below)</w:t>
      </w:r>
      <w:r w:rsidR="00A95EAC">
        <w:rPr>
          <w:sz w:val="18"/>
          <w:szCs w:val="18"/>
        </w:rPr>
        <w:t>.</w:t>
      </w:r>
    </w:p>
    <w:p w:rsidR="002C2D5C" w:rsidRPr="002D4F56" w:rsidRDefault="002C2D5C" w:rsidP="002C2D5C">
      <w:pPr>
        <w:pStyle w:val="Caption"/>
        <w:jc w:val="both"/>
        <w:rPr>
          <w:sz w:val="18"/>
          <w:szCs w:val="18"/>
        </w:rPr>
      </w:pPr>
      <w:bookmarkStart w:id="105" w:name="_Ref2598088"/>
      <w:r w:rsidRPr="002D4F56">
        <w:rPr>
          <w:sz w:val="18"/>
          <w:szCs w:val="18"/>
        </w:rPr>
        <w:t xml:space="preserve">Table </w:t>
      </w:r>
      <w:r w:rsidR="001A69AC" w:rsidRPr="002D4F56">
        <w:rPr>
          <w:noProof/>
          <w:sz w:val="18"/>
          <w:szCs w:val="18"/>
        </w:rPr>
        <w:fldChar w:fldCharType="begin"/>
      </w:r>
      <w:r w:rsidRPr="002D4F56">
        <w:rPr>
          <w:noProof/>
          <w:sz w:val="18"/>
          <w:szCs w:val="18"/>
        </w:rPr>
        <w:instrText xml:space="preserve"> STYLEREF 1 \s </w:instrText>
      </w:r>
      <w:r w:rsidR="001A69AC" w:rsidRPr="002D4F56">
        <w:rPr>
          <w:noProof/>
          <w:sz w:val="18"/>
          <w:szCs w:val="18"/>
        </w:rPr>
        <w:fldChar w:fldCharType="separate"/>
      </w:r>
      <w:r w:rsidR="00E14AFB">
        <w:rPr>
          <w:noProof/>
          <w:sz w:val="18"/>
          <w:szCs w:val="18"/>
        </w:rPr>
        <w:t>6</w:t>
      </w:r>
      <w:r w:rsidR="001A69AC" w:rsidRPr="002D4F56">
        <w:rPr>
          <w:noProof/>
          <w:sz w:val="18"/>
          <w:szCs w:val="18"/>
        </w:rPr>
        <w:fldChar w:fldCharType="end"/>
      </w:r>
      <w:r w:rsidRPr="002D4F56">
        <w:rPr>
          <w:sz w:val="18"/>
          <w:szCs w:val="18"/>
        </w:rPr>
        <w:noBreakHyphen/>
      </w:r>
      <w:r w:rsidR="001A69AC" w:rsidRPr="002D4F56">
        <w:rPr>
          <w:noProof/>
          <w:sz w:val="18"/>
          <w:szCs w:val="18"/>
        </w:rPr>
        <w:fldChar w:fldCharType="begin"/>
      </w:r>
      <w:r w:rsidRPr="002D4F56">
        <w:rPr>
          <w:noProof/>
          <w:sz w:val="18"/>
          <w:szCs w:val="18"/>
        </w:rPr>
        <w:instrText xml:space="preserve"> SEQ Table \* ARABIC \s 1 </w:instrText>
      </w:r>
      <w:r w:rsidR="001A69AC" w:rsidRPr="002D4F56">
        <w:rPr>
          <w:noProof/>
          <w:sz w:val="18"/>
          <w:szCs w:val="18"/>
        </w:rPr>
        <w:fldChar w:fldCharType="separate"/>
      </w:r>
      <w:r w:rsidR="00E14AFB">
        <w:rPr>
          <w:noProof/>
          <w:sz w:val="18"/>
          <w:szCs w:val="18"/>
        </w:rPr>
        <w:t>1</w:t>
      </w:r>
      <w:r w:rsidR="001A69AC" w:rsidRPr="002D4F56">
        <w:rPr>
          <w:noProof/>
          <w:sz w:val="18"/>
          <w:szCs w:val="18"/>
        </w:rPr>
        <w:fldChar w:fldCharType="end"/>
      </w:r>
      <w:bookmarkEnd w:id="105"/>
      <w:r w:rsidRPr="002D4F56">
        <w:rPr>
          <w:sz w:val="18"/>
          <w:szCs w:val="18"/>
        </w:rPr>
        <w:t xml:space="preserve">: Accommodation type (households), </w:t>
      </w:r>
      <w:r w:rsidR="005A1734">
        <w:rPr>
          <w:sz w:val="18"/>
          <w:szCs w:val="18"/>
        </w:rPr>
        <w:t>Reedham</w:t>
      </w:r>
      <w:r w:rsidR="002D4F56" w:rsidRPr="002D4F56">
        <w:rPr>
          <w:sz w:val="18"/>
          <w:szCs w:val="18"/>
        </w:rPr>
        <w:t xml:space="preserve"> </w:t>
      </w:r>
      <w:r w:rsidRPr="002D4F56">
        <w:rPr>
          <w:sz w:val="18"/>
          <w:szCs w:val="18"/>
        </w:rPr>
        <w:t>2011</w:t>
      </w:r>
    </w:p>
    <w:tbl>
      <w:tblPr>
        <w:tblW w:w="4791"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26"/>
        <w:gridCol w:w="3066"/>
        <w:gridCol w:w="1346"/>
        <w:gridCol w:w="1346"/>
        <w:gridCol w:w="1346"/>
      </w:tblGrid>
      <w:tr w:rsidR="002C2D5C" w:rsidRPr="005C7909" w:rsidTr="00657A14">
        <w:trPr>
          <w:trHeight w:val="288"/>
        </w:trPr>
        <w:tc>
          <w:tcPr>
            <w:tcW w:w="1311" w:type="pct"/>
            <w:tcBorders>
              <w:bottom w:val="single" w:sz="4" w:space="0" w:color="auto"/>
            </w:tcBorders>
            <w:shd w:val="clear" w:color="auto" w:fill="000000" w:themeFill="text2"/>
            <w:noWrap/>
            <w:vAlign w:val="center"/>
            <w:hideMark/>
          </w:tcPr>
          <w:p w:rsidR="002C2D5C" w:rsidRPr="00374C95" w:rsidRDefault="002C2D5C" w:rsidP="00C378B2">
            <w:pPr>
              <w:spacing w:line="240" w:lineRule="auto"/>
              <w:jc w:val="both"/>
              <w:rPr>
                <w:rFonts w:asciiTheme="majorHAnsi" w:hAnsiTheme="majorHAnsi" w:cstheme="majorHAnsi"/>
                <w:b/>
                <w:bCs/>
                <w:color w:val="FFFFFF" w:themeColor="background1"/>
                <w:sz w:val="18"/>
                <w:szCs w:val="18"/>
                <w:lang w:eastAsia="zh-CN"/>
              </w:rPr>
            </w:pPr>
            <w:r w:rsidRPr="00374C95">
              <w:rPr>
                <w:rFonts w:asciiTheme="majorHAnsi" w:hAnsiTheme="majorHAnsi" w:cstheme="majorHAnsi"/>
                <w:b/>
                <w:bCs/>
                <w:color w:val="FFFFFF" w:themeColor="background1"/>
                <w:sz w:val="18"/>
                <w:szCs w:val="18"/>
                <w:lang w:eastAsia="zh-CN"/>
              </w:rPr>
              <w:t>Dwelling type</w:t>
            </w:r>
          </w:p>
        </w:tc>
        <w:tc>
          <w:tcPr>
            <w:tcW w:w="1592" w:type="pct"/>
            <w:shd w:val="clear" w:color="auto" w:fill="000000" w:themeFill="text2"/>
            <w:noWrap/>
            <w:vAlign w:val="center"/>
            <w:hideMark/>
          </w:tcPr>
          <w:p w:rsidR="002C2D5C" w:rsidRPr="00374C95" w:rsidRDefault="002C2D5C" w:rsidP="00C378B2">
            <w:pPr>
              <w:spacing w:line="240" w:lineRule="auto"/>
              <w:jc w:val="both"/>
              <w:rPr>
                <w:rFonts w:asciiTheme="majorHAnsi" w:hAnsiTheme="majorHAnsi" w:cstheme="majorHAnsi"/>
                <w:b/>
                <w:bCs/>
                <w:color w:val="FFFFFF" w:themeColor="background1"/>
                <w:sz w:val="18"/>
                <w:szCs w:val="18"/>
                <w:lang w:eastAsia="zh-CN"/>
              </w:rPr>
            </w:pPr>
          </w:p>
        </w:tc>
        <w:tc>
          <w:tcPr>
            <w:tcW w:w="699" w:type="pct"/>
            <w:shd w:val="clear" w:color="auto" w:fill="000000" w:themeFill="text2"/>
            <w:noWrap/>
            <w:vAlign w:val="center"/>
          </w:tcPr>
          <w:p w:rsidR="002C2D5C" w:rsidRPr="00374C95" w:rsidRDefault="00657A14" w:rsidP="00C378B2">
            <w:pPr>
              <w:spacing w:line="240" w:lineRule="auto"/>
              <w:jc w:val="both"/>
              <w:rPr>
                <w:rFonts w:asciiTheme="majorHAnsi" w:hAnsiTheme="majorHAnsi" w:cstheme="majorHAnsi"/>
                <w:b/>
                <w:bCs/>
                <w:color w:val="FFFFFF" w:themeColor="background1"/>
                <w:sz w:val="18"/>
                <w:szCs w:val="18"/>
                <w:lang w:eastAsia="zh-CN"/>
              </w:rPr>
            </w:pPr>
            <w:r>
              <w:rPr>
                <w:rFonts w:asciiTheme="majorHAnsi" w:hAnsiTheme="majorHAnsi" w:cstheme="majorHAnsi"/>
                <w:b/>
                <w:bCs/>
                <w:color w:val="FFFFFF" w:themeColor="background1"/>
                <w:sz w:val="18"/>
                <w:szCs w:val="18"/>
                <w:lang w:eastAsia="zh-CN"/>
              </w:rPr>
              <w:t>Reedham</w:t>
            </w:r>
          </w:p>
        </w:tc>
        <w:tc>
          <w:tcPr>
            <w:tcW w:w="699" w:type="pct"/>
            <w:shd w:val="clear" w:color="auto" w:fill="000000" w:themeFill="text2"/>
            <w:noWrap/>
            <w:vAlign w:val="center"/>
          </w:tcPr>
          <w:p w:rsidR="002C2D5C" w:rsidRPr="00374C95" w:rsidRDefault="00657A14" w:rsidP="00C378B2">
            <w:pPr>
              <w:spacing w:line="240" w:lineRule="auto"/>
              <w:jc w:val="both"/>
              <w:rPr>
                <w:rFonts w:asciiTheme="majorHAnsi" w:hAnsiTheme="majorHAnsi" w:cstheme="majorHAnsi"/>
                <w:b/>
                <w:bCs/>
                <w:color w:val="FFFFFF" w:themeColor="background1"/>
                <w:sz w:val="18"/>
                <w:szCs w:val="18"/>
                <w:lang w:eastAsia="zh-CN"/>
              </w:rPr>
            </w:pPr>
            <w:r>
              <w:rPr>
                <w:rFonts w:asciiTheme="majorHAnsi" w:hAnsiTheme="majorHAnsi" w:cstheme="majorHAnsi"/>
                <w:b/>
                <w:bCs/>
                <w:color w:val="FFFFFF" w:themeColor="background1"/>
                <w:sz w:val="18"/>
                <w:szCs w:val="18"/>
                <w:lang w:eastAsia="zh-CN"/>
              </w:rPr>
              <w:t>Broadland</w:t>
            </w:r>
          </w:p>
        </w:tc>
        <w:tc>
          <w:tcPr>
            <w:tcW w:w="699" w:type="pct"/>
            <w:shd w:val="clear" w:color="auto" w:fill="000000" w:themeFill="text2"/>
            <w:noWrap/>
            <w:vAlign w:val="center"/>
          </w:tcPr>
          <w:p w:rsidR="002C2D5C" w:rsidRPr="00374C95" w:rsidRDefault="00657A14" w:rsidP="00C378B2">
            <w:pPr>
              <w:spacing w:line="240" w:lineRule="auto"/>
              <w:jc w:val="both"/>
              <w:rPr>
                <w:rFonts w:asciiTheme="majorHAnsi" w:hAnsiTheme="majorHAnsi" w:cstheme="majorHAnsi"/>
                <w:b/>
                <w:bCs/>
                <w:color w:val="FFFFFF" w:themeColor="background1"/>
                <w:sz w:val="18"/>
                <w:szCs w:val="18"/>
                <w:lang w:eastAsia="zh-CN"/>
              </w:rPr>
            </w:pPr>
            <w:r>
              <w:rPr>
                <w:rFonts w:asciiTheme="majorHAnsi" w:hAnsiTheme="majorHAnsi" w:cstheme="majorHAnsi"/>
                <w:b/>
                <w:bCs/>
                <w:color w:val="FFFFFF" w:themeColor="background1"/>
                <w:sz w:val="18"/>
                <w:szCs w:val="18"/>
                <w:lang w:eastAsia="zh-CN"/>
              </w:rPr>
              <w:t>England</w:t>
            </w:r>
          </w:p>
        </w:tc>
      </w:tr>
      <w:tr w:rsidR="002C2D5C" w:rsidRPr="005C7909" w:rsidTr="00FE6783">
        <w:trPr>
          <w:trHeight w:val="288"/>
        </w:trPr>
        <w:tc>
          <w:tcPr>
            <w:tcW w:w="1311" w:type="pct"/>
            <w:tcBorders>
              <w:top w:val="single" w:sz="4" w:space="0" w:color="auto"/>
              <w:left w:val="single" w:sz="4" w:space="0" w:color="auto"/>
              <w:bottom w:val="nil"/>
              <w:right w:val="single" w:sz="4" w:space="0" w:color="auto"/>
            </w:tcBorders>
            <w:shd w:val="clear" w:color="auto" w:fill="auto"/>
            <w:noWrap/>
            <w:vAlign w:val="center"/>
            <w:hideMark/>
          </w:tcPr>
          <w:p w:rsidR="002C2D5C" w:rsidRPr="00374C95" w:rsidRDefault="002C2D5C" w:rsidP="00FE6783">
            <w:pPr>
              <w:spacing w:line="240" w:lineRule="auto"/>
              <w:rPr>
                <w:rFonts w:asciiTheme="majorHAnsi" w:hAnsiTheme="majorHAnsi" w:cstheme="majorHAnsi"/>
                <w:sz w:val="18"/>
                <w:szCs w:val="18"/>
                <w:lang w:eastAsia="zh-CN"/>
              </w:rPr>
            </w:pPr>
            <w:r w:rsidRPr="00374C95">
              <w:rPr>
                <w:rFonts w:asciiTheme="majorHAnsi" w:hAnsiTheme="majorHAnsi" w:cstheme="majorHAnsi"/>
                <w:sz w:val="18"/>
                <w:szCs w:val="18"/>
                <w:lang w:eastAsia="zh-CN"/>
              </w:rPr>
              <w:t>Whole house or bungalow</w:t>
            </w:r>
          </w:p>
        </w:tc>
        <w:tc>
          <w:tcPr>
            <w:tcW w:w="1592" w:type="pct"/>
            <w:tcBorders>
              <w:left w:val="single" w:sz="4" w:space="0" w:color="auto"/>
            </w:tcBorders>
            <w:shd w:val="clear" w:color="auto" w:fill="auto"/>
            <w:noWrap/>
            <w:vAlign w:val="center"/>
            <w:hideMark/>
          </w:tcPr>
          <w:p w:rsidR="002C2D5C" w:rsidRPr="00374C95" w:rsidRDefault="002C2D5C" w:rsidP="00FE6783">
            <w:pPr>
              <w:spacing w:line="240" w:lineRule="auto"/>
              <w:rPr>
                <w:rFonts w:asciiTheme="majorHAnsi" w:hAnsiTheme="majorHAnsi" w:cstheme="majorHAnsi"/>
                <w:sz w:val="18"/>
                <w:szCs w:val="18"/>
                <w:lang w:eastAsia="zh-CN"/>
              </w:rPr>
            </w:pPr>
            <w:r w:rsidRPr="00374C95">
              <w:rPr>
                <w:rFonts w:asciiTheme="majorHAnsi" w:hAnsiTheme="majorHAnsi" w:cstheme="majorHAnsi"/>
                <w:sz w:val="18"/>
                <w:szCs w:val="18"/>
                <w:lang w:eastAsia="zh-CN"/>
              </w:rPr>
              <w:t>Detached</w:t>
            </w:r>
          </w:p>
        </w:tc>
        <w:tc>
          <w:tcPr>
            <w:tcW w:w="699" w:type="pct"/>
            <w:shd w:val="clear" w:color="auto" w:fill="auto"/>
            <w:noWrap/>
            <w:vAlign w:val="center"/>
          </w:tcPr>
          <w:p w:rsidR="002C2D5C" w:rsidRPr="00374C95" w:rsidRDefault="00657A14" w:rsidP="00C378B2">
            <w:pPr>
              <w:spacing w:line="240" w:lineRule="auto"/>
              <w:jc w:val="both"/>
              <w:rPr>
                <w:rFonts w:asciiTheme="majorHAnsi" w:hAnsiTheme="majorHAnsi" w:cstheme="majorHAnsi"/>
                <w:sz w:val="18"/>
                <w:szCs w:val="18"/>
                <w:lang w:eastAsia="zh-CN"/>
              </w:rPr>
            </w:pPr>
            <w:r>
              <w:rPr>
                <w:rFonts w:asciiTheme="majorHAnsi" w:hAnsiTheme="majorHAnsi" w:cstheme="majorHAnsi"/>
                <w:sz w:val="18"/>
                <w:szCs w:val="18"/>
                <w:lang w:eastAsia="zh-CN"/>
              </w:rPr>
              <w:t>46.4%</w:t>
            </w:r>
          </w:p>
        </w:tc>
        <w:tc>
          <w:tcPr>
            <w:tcW w:w="699" w:type="pct"/>
            <w:shd w:val="clear" w:color="auto" w:fill="auto"/>
            <w:noWrap/>
          </w:tcPr>
          <w:p w:rsidR="002C2D5C" w:rsidRPr="00374C95" w:rsidRDefault="00657A14" w:rsidP="00C378B2">
            <w:pPr>
              <w:spacing w:line="240" w:lineRule="auto"/>
              <w:jc w:val="both"/>
              <w:rPr>
                <w:rFonts w:asciiTheme="majorHAnsi" w:hAnsiTheme="majorHAnsi" w:cstheme="majorHAnsi"/>
                <w:sz w:val="18"/>
                <w:szCs w:val="18"/>
                <w:lang w:eastAsia="zh-CN"/>
              </w:rPr>
            </w:pPr>
            <w:r>
              <w:rPr>
                <w:rFonts w:asciiTheme="majorHAnsi" w:hAnsiTheme="majorHAnsi" w:cstheme="majorHAnsi"/>
                <w:sz w:val="18"/>
                <w:szCs w:val="18"/>
                <w:lang w:eastAsia="zh-CN"/>
              </w:rPr>
              <w:t>46.9%</w:t>
            </w:r>
          </w:p>
        </w:tc>
        <w:tc>
          <w:tcPr>
            <w:tcW w:w="699" w:type="pct"/>
            <w:shd w:val="clear" w:color="auto" w:fill="auto"/>
            <w:noWrap/>
          </w:tcPr>
          <w:p w:rsidR="002C2D5C" w:rsidRPr="00374C95" w:rsidRDefault="00657A14" w:rsidP="00C378B2">
            <w:pPr>
              <w:spacing w:line="240" w:lineRule="auto"/>
              <w:jc w:val="both"/>
              <w:rPr>
                <w:rFonts w:asciiTheme="majorHAnsi" w:hAnsiTheme="majorHAnsi" w:cstheme="majorHAnsi"/>
                <w:sz w:val="18"/>
                <w:szCs w:val="18"/>
                <w:lang w:eastAsia="zh-CN"/>
              </w:rPr>
            </w:pPr>
            <w:r>
              <w:rPr>
                <w:rFonts w:asciiTheme="majorHAnsi" w:hAnsiTheme="majorHAnsi" w:cstheme="majorHAnsi"/>
                <w:sz w:val="18"/>
                <w:szCs w:val="18"/>
                <w:lang w:eastAsia="zh-CN"/>
              </w:rPr>
              <w:t>22.4%</w:t>
            </w:r>
          </w:p>
        </w:tc>
      </w:tr>
      <w:tr w:rsidR="002C2D5C" w:rsidRPr="005C7909" w:rsidTr="00FE6783">
        <w:trPr>
          <w:trHeight w:val="288"/>
        </w:trPr>
        <w:tc>
          <w:tcPr>
            <w:tcW w:w="1311" w:type="pct"/>
            <w:tcBorders>
              <w:top w:val="nil"/>
              <w:left w:val="single" w:sz="4" w:space="0" w:color="auto"/>
              <w:bottom w:val="nil"/>
              <w:right w:val="single" w:sz="4" w:space="0" w:color="auto"/>
            </w:tcBorders>
            <w:shd w:val="clear" w:color="auto" w:fill="auto"/>
            <w:noWrap/>
            <w:vAlign w:val="center"/>
            <w:hideMark/>
          </w:tcPr>
          <w:p w:rsidR="002C2D5C" w:rsidRPr="00374C95" w:rsidRDefault="002C2D5C" w:rsidP="00FE6783">
            <w:pPr>
              <w:spacing w:line="240" w:lineRule="auto"/>
              <w:rPr>
                <w:rFonts w:asciiTheme="majorHAnsi" w:hAnsiTheme="majorHAnsi" w:cstheme="majorHAnsi"/>
                <w:sz w:val="18"/>
                <w:szCs w:val="18"/>
                <w:lang w:eastAsia="zh-CN"/>
              </w:rPr>
            </w:pPr>
          </w:p>
        </w:tc>
        <w:tc>
          <w:tcPr>
            <w:tcW w:w="1592" w:type="pct"/>
            <w:tcBorders>
              <w:left w:val="single" w:sz="4" w:space="0" w:color="auto"/>
            </w:tcBorders>
            <w:shd w:val="clear" w:color="auto" w:fill="auto"/>
            <w:noWrap/>
            <w:vAlign w:val="center"/>
            <w:hideMark/>
          </w:tcPr>
          <w:p w:rsidR="002C2D5C" w:rsidRPr="00374C95" w:rsidRDefault="002C2D5C" w:rsidP="00FE6783">
            <w:pPr>
              <w:spacing w:line="240" w:lineRule="auto"/>
              <w:rPr>
                <w:rFonts w:asciiTheme="majorHAnsi" w:hAnsiTheme="majorHAnsi" w:cstheme="majorHAnsi"/>
                <w:sz w:val="18"/>
                <w:szCs w:val="18"/>
                <w:lang w:eastAsia="zh-CN"/>
              </w:rPr>
            </w:pPr>
            <w:r w:rsidRPr="00374C95">
              <w:rPr>
                <w:rFonts w:asciiTheme="majorHAnsi" w:hAnsiTheme="majorHAnsi" w:cstheme="majorHAnsi"/>
                <w:sz w:val="18"/>
                <w:szCs w:val="18"/>
                <w:lang w:eastAsia="zh-CN"/>
              </w:rPr>
              <w:t>Semi-detached</w:t>
            </w:r>
          </w:p>
        </w:tc>
        <w:tc>
          <w:tcPr>
            <w:tcW w:w="699" w:type="pct"/>
            <w:shd w:val="clear" w:color="auto" w:fill="auto"/>
            <w:noWrap/>
          </w:tcPr>
          <w:p w:rsidR="002C2D5C" w:rsidRPr="00374C95" w:rsidRDefault="00657A14" w:rsidP="00C378B2">
            <w:pPr>
              <w:spacing w:line="240" w:lineRule="auto"/>
              <w:jc w:val="both"/>
              <w:rPr>
                <w:rFonts w:asciiTheme="majorHAnsi" w:hAnsiTheme="majorHAnsi" w:cstheme="majorHAnsi"/>
                <w:sz w:val="18"/>
                <w:szCs w:val="18"/>
                <w:lang w:eastAsia="zh-CN"/>
              </w:rPr>
            </w:pPr>
            <w:r>
              <w:rPr>
                <w:rFonts w:asciiTheme="majorHAnsi" w:hAnsiTheme="majorHAnsi" w:cstheme="majorHAnsi"/>
                <w:sz w:val="18"/>
                <w:szCs w:val="18"/>
                <w:lang w:eastAsia="zh-CN"/>
              </w:rPr>
              <w:t>41.8%</w:t>
            </w:r>
          </w:p>
        </w:tc>
        <w:tc>
          <w:tcPr>
            <w:tcW w:w="699" w:type="pct"/>
            <w:shd w:val="clear" w:color="auto" w:fill="auto"/>
            <w:noWrap/>
          </w:tcPr>
          <w:p w:rsidR="002C2D5C" w:rsidRPr="00374C95" w:rsidRDefault="00657A14" w:rsidP="00C378B2">
            <w:pPr>
              <w:spacing w:line="240" w:lineRule="auto"/>
              <w:jc w:val="both"/>
              <w:rPr>
                <w:rFonts w:asciiTheme="majorHAnsi" w:hAnsiTheme="majorHAnsi" w:cstheme="majorHAnsi"/>
                <w:sz w:val="18"/>
                <w:szCs w:val="18"/>
                <w:lang w:eastAsia="zh-CN"/>
              </w:rPr>
            </w:pPr>
            <w:r>
              <w:rPr>
                <w:rFonts w:asciiTheme="majorHAnsi" w:hAnsiTheme="majorHAnsi" w:cstheme="majorHAnsi"/>
                <w:sz w:val="18"/>
                <w:szCs w:val="18"/>
                <w:lang w:eastAsia="zh-CN"/>
              </w:rPr>
              <w:t>37.9%</w:t>
            </w:r>
          </w:p>
        </w:tc>
        <w:tc>
          <w:tcPr>
            <w:tcW w:w="699" w:type="pct"/>
            <w:shd w:val="clear" w:color="auto" w:fill="auto"/>
            <w:noWrap/>
          </w:tcPr>
          <w:p w:rsidR="002C2D5C" w:rsidRPr="00374C95" w:rsidRDefault="00657A14" w:rsidP="00C378B2">
            <w:pPr>
              <w:spacing w:line="240" w:lineRule="auto"/>
              <w:jc w:val="both"/>
              <w:rPr>
                <w:rFonts w:asciiTheme="majorHAnsi" w:hAnsiTheme="majorHAnsi" w:cstheme="majorHAnsi"/>
                <w:sz w:val="18"/>
                <w:szCs w:val="18"/>
                <w:lang w:eastAsia="zh-CN"/>
              </w:rPr>
            </w:pPr>
            <w:r>
              <w:rPr>
                <w:rFonts w:asciiTheme="majorHAnsi" w:hAnsiTheme="majorHAnsi" w:cstheme="majorHAnsi"/>
                <w:sz w:val="18"/>
                <w:szCs w:val="18"/>
                <w:lang w:eastAsia="zh-CN"/>
              </w:rPr>
              <w:t>31.2%</w:t>
            </w:r>
          </w:p>
        </w:tc>
      </w:tr>
      <w:tr w:rsidR="002C2D5C" w:rsidRPr="005C7909" w:rsidTr="00FE6783">
        <w:trPr>
          <w:trHeight w:val="288"/>
        </w:trPr>
        <w:tc>
          <w:tcPr>
            <w:tcW w:w="1311" w:type="pct"/>
            <w:tcBorders>
              <w:top w:val="nil"/>
              <w:left w:val="single" w:sz="4" w:space="0" w:color="auto"/>
              <w:bottom w:val="single" w:sz="4" w:space="0" w:color="auto"/>
              <w:right w:val="single" w:sz="4" w:space="0" w:color="auto"/>
            </w:tcBorders>
            <w:shd w:val="clear" w:color="auto" w:fill="auto"/>
            <w:noWrap/>
            <w:vAlign w:val="center"/>
            <w:hideMark/>
          </w:tcPr>
          <w:p w:rsidR="002C2D5C" w:rsidRPr="00374C95" w:rsidRDefault="002C2D5C" w:rsidP="00FE6783">
            <w:pPr>
              <w:spacing w:line="240" w:lineRule="auto"/>
              <w:rPr>
                <w:rFonts w:asciiTheme="majorHAnsi" w:hAnsiTheme="majorHAnsi" w:cstheme="majorHAnsi"/>
                <w:sz w:val="18"/>
                <w:szCs w:val="18"/>
                <w:lang w:eastAsia="zh-CN"/>
              </w:rPr>
            </w:pPr>
          </w:p>
        </w:tc>
        <w:tc>
          <w:tcPr>
            <w:tcW w:w="1592" w:type="pct"/>
            <w:tcBorders>
              <w:left w:val="single" w:sz="4" w:space="0" w:color="auto"/>
            </w:tcBorders>
            <w:shd w:val="clear" w:color="auto" w:fill="auto"/>
            <w:noWrap/>
            <w:vAlign w:val="center"/>
            <w:hideMark/>
          </w:tcPr>
          <w:p w:rsidR="002C2D5C" w:rsidRPr="00374C95" w:rsidRDefault="002C2D5C" w:rsidP="00FE6783">
            <w:pPr>
              <w:spacing w:line="240" w:lineRule="auto"/>
              <w:rPr>
                <w:rFonts w:asciiTheme="majorHAnsi" w:hAnsiTheme="majorHAnsi" w:cstheme="majorHAnsi"/>
                <w:sz w:val="18"/>
                <w:szCs w:val="18"/>
                <w:lang w:eastAsia="zh-CN"/>
              </w:rPr>
            </w:pPr>
            <w:r w:rsidRPr="00374C95">
              <w:rPr>
                <w:rFonts w:asciiTheme="majorHAnsi" w:hAnsiTheme="majorHAnsi" w:cstheme="majorHAnsi"/>
                <w:sz w:val="18"/>
                <w:szCs w:val="18"/>
                <w:lang w:eastAsia="zh-CN"/>
              </w:rPr>
              <w:t>Terraced</w:t>
            </w:r>
          </w:p>
        </w:tc>
        <w:tc>
          <w:tcPr>
            <w:tcW w:w="699" w:type="pct"/>
            <w:shd w:val="clear" w:color="auto" w:fill="auto"/>
            <w:noWrap/>
          </w:tcPr>
          <w:p w:rsidR="002C2D5C" w:rsidRPr="00374C95" w:rsidRDefault="00657A14" w:rsidP="00C378B2">
            <w:pPr>
              <w:spacing w:line="240" w:lineRule="auto"/>
              <w:jc w:val="both"/>
              <w:rPr>
                <w:rFonts w:asciiTheme="majorHAnsi" w:hAnsiTheme="majorHAnsi" w:cstheme="majorHAnsi"/>
                <w:sz w:val="18"/>
                <w:szCs w:val="18"/>
                <w:lang w:eastAsia="zh-CN"/>
              </w:rPr>
            </w:pPr>
            <w:r>
              <w:rPr>
                <w:rFonts w:asciiTheme="majorHAnsi" w:hAnsiTheme="majorHAnsi" w:cstheme="majorHAnsi"/>
                <w:sz w:val="18"/>
                <w:szCs w:val="18"/>
                <w:lang w:eastAsia="zh-CN"/>
              </w:rPr>
              <w:t>9.5%</w:t>
            </w:r>
          </w:p>
        </w:tc>
        <w:tc>
          <w:tcPr>
            <w:tcW w:w="699" w:type="pct"/>
            <w:shd w:val="clear" w:color="auto" w:fill="auto"/>
            <w:noWrap/>
          </w:tcPr>
          <w:p w:rsidR="002C2D5C" w:rsidRPr="00374C95" w:rsidRDefault="00657A14" w:rsidP="00C378B2">
            <w:pPr>
              <w:spacing w:line="240" w:lineRule="auto"/>
              <w:jc w:val="both"/>
              <w:rPr>
                <w:rFonts w:asciiTheme="majorHAnsi" w:hAnsiTheme="majorHAnsi" w:cstheme="majorHAnsi"/>
                <w:sz w:val="18"/>
                <w:szCs w:val="18"/>
                <w:lang w:eastAsia="zh-CN"/>
              </w:rPr>
            </w:pPr>
            <w:r>
              <w:rPr>
                <w:rFonts w:asciiTheme="majorHAnsi" w:hAnsiTheme="majorHAnsi" w:cstheme="majorHAnsi"/>
                <w:sz w:val="18"/>
                <w:szCs w:val="18"/>
                <w:lang w:eastAsia="zh-CN"/>
              </w:rPr>
              <w:t>10.2%</w:t>
            </w:r>
          </w:p>
        </w:tc>
        <w:tc>
          <w:tcPr>
            <w:tcW w:w="699" w:type="pct"/>
            <w:shd w:val="clear" w:color="auto" w:fill="auto"/>
            <w:noWrap/>
          </w:tcPr>
          <w:p w:rsidR="002C2D5C" w:rsidRPr="00374C95" w:rsidRDefault="00657A14" w:rsidP="00C378B2">
            <w:pPr>
              <w:spacing w:line="240" w:lineRule="auto"/>
              <w:jc w:val="both"/>
              <w:rPr>
                <w:rFonts w:asciiTheme="majorHAnsi" w:hAnsiTheme="majorHAnsi" w:cstheme="majorHAnsi"/>
                <w:sz w:val="18"/>
                <w:szCs w:val="18"/>
                <w:lang w:eastAsia="zh-CN"/>
              </w:rPr>
            </w:pPr>
            <w:r>
              <w:rPr>
                <w:rFonts w:asciiTheme="majorHAnsi" w:hAnsiTheme="majorHAnsi" w:cstheme="majorHAnsi"/>
                <w:sz w:val="18"/>
                <w:szCs w:val="18"/>
                <w:lang w:eastAsia="zh-CN"/>
              </w:rPr>
              <w:t>24.5%</w:t>
            </w:r>
          </w:p>
        </w:tc>
      </w:tr>
      <w:tr w:rsidR="002C2D5C" w:rsidRPr="005C7909" w:rsidTr="00FE6783">
        <w:trPr>
          <w:trHeight w:val="288"/>
        </w:trPr>
        <w:tc>
          <w:tcPr>
            <w:tcW w:w="1311" w:type="pct"/>
            <w:tcBorders>
              <w:top w:val="single" w:sz="4" w:space="0" w:color="auto"/>
              <w:left w:val="single" w:sz="4" w:space="0" w:color="auto"/>
              <w:bottom w:val="nil"/>
              <w:right w:val="single" w:sz="4" w:space="0" w:color="auto"/>
            </w:tcBorders>
            <w:shd w:val="clear" w:color="auto" w:fill="auto"/>
            <w:noWrap/>
            <w:vAlign w:val="center"/>
            <w:hideMark/>
          </w:tcPr>
          <w:p w:rsidR="002C2D5C" w:rsidRPr="00374C95" w:rsidRDefault="002C2D5C" w:rsidP="00FE6783">
            <w:pPr>
              <w:spacing w:line="240" w:lineRule="auto"/>
              <w:rPr>
                <w:rFonts w:asciiTheme="majorHAnsi" w:hAnsiTheme="majorHAnsi" w:cstheme="majorHAnsi"/>
                <w:sz w:val="18"/>
                <w:szCs w:val="18"/>
                <w:lang w:eastAsia="zh-CN"/>
              </w:rPr>
            </w:pPr>
            <w:r w:rsidRPr="00374C95">
              <w:rPr>
                <w:rFonts w:asciiTheme="majorHAnsi" w:hAnsiTheme="majorHAnsi" w:cstheme="majorHAnsi"/>
                <w:sz w:val="18"/>
                <w:szCs w:val="18"/>
                <w:lang w:eastAsia="zh-CN"/>
              </w:rPr>
              <w:t>Flat, maisonette or apartment</w:t>
            </w:r>
          </w:p>
        </w:tc>
        <w:tc>
          <w:tcPr>
            <w:tcW w:w="1592" w:type="pct"/>
            <w:tcBorders>
              <w:left w:val="single" w:sz="4" w:space="0" w:color="auto"/>
            </w:tcBorders>
            <w:shd w:val="clear" w:color="auto" w:fill="auto"/>
            <w:noWrap/>
            <w:vAlign w:val="center"/>
            <w:hideMark/>
          </w:tcPr>
          <w:p w:rsidR="002C2D5C" w:rsidRPr="00374C95" w:rsidRDefault="002C2D5C" w:rsidP="00FE6783">
            <w:pPr>
              <w:spacing w:line="240" w:lineRule="auto"/>
              <w:rPr>
                <w:rFonts w:asciiTheme="majorHAnsi" w:hAnsiTheme="majorHAnsi" w:cstheme="majorHAnsi"/>
                <w:sz w:val="18"/>
                <w:szCs w:val="18"/>
                <w:lang w:eastAsia="zh-CN"/>
              </w:rPr>
            </w:pPr>
            <w:r w:rsidRPr="00374C95">
              <w:rPr>
                <w:rFonts w:asciiTheme="majorHAnsi" w:hAnsiTheme="majorHAnsi" w:cstheme="majorHAnsi"/>
                <w:sz w:val="18"/>
                <w:szCs w:val="18"/>
                <w:lang w:eastAsia="zh-CN"/>
              </w:rPr>
              <w:t>Purpose-built block of flats or tenement</w:t>
            </w:r>
          </w:p>
        </w:tc>
        <w:tc>
          <w:tcPr>
            <w:tcW w:w="699" w:type="pct"/>
            <w:shd w:val="clear" w:color="auto" w:fill="auto"/>
            <w:noWrap/>
          </w:tcPr>
          <w:p w:rsidR="002C2D5C" w:rsidRPr="00374C95" w:rsidRDefault="00657A14" w:rsidP="00C378B2">
            <w:pPr>
              <w:spacing w:line="240" w:lineRule="auto"/>
              <w:jc w:val="both"/>
              <w:rPr>
                <w:rFonts w:asciiTheme="majorHAnsi" w:hAnsiTheme="majorHAnsi" w:cstheme="majorHAnsi"/>
                <w:sz w:val="18"/>
                <w:szCs w:val="18"/>
                <w:lang w:eastAsia="zh-CN"/>
              </w:rPr>
            </w:pPr>
            <w:r>
              <w:rPr>
                <w:rFonts w:asciiTheme="majorHAnsi" w:hAnsiTheme="majorHAnsi" w:cstheme="majorHAnsi"/>
                <w:sz w:val="18"/>
                <w:szCs w:val="18"/>
                <w:lang w:eastAsia="zh-CN"/>
              </w:rPr>
              <w:t>0.4%</w:t>
            </w:r>
          </w:p>
        </w:tc>
        <w:tc>
          <w:tcPr>
            <w:tcW w:w="699" w:type="pct"/>
            <w:shd w:val="clear" w:color="auto" w:fill="auto"/>
            <w:noWrap/>
          </w:tcPr>
          <w:p w:rsidR="002C2D5C" w:rsidRPr="00374C95" w:rsidRDefault="00657A14" w:rsidP="00C378B2">
            <w:pPr>
              <w:spacing w:line="240" w:lineRule="auto"/>
              <w:jc w:val="both"/>
              <w:rPr>
                <w:rFonts w:asciiTheme="majorHAnsi" w:hAnsiTheme="majorHAnsi" w:cstheme="majorHAnsi"/>
                <w:sz w:val="18"/>
                <w:szCs w:val="18"/>
                <w:lang w:eastAsia="zh-CN"/>
              </w:rPr>
            </w:pPr>
            <w:r>
              <w:rPr>
                <w:rFonts w:asciiTheme="majorHAnsi" w:hAnsiTheme="majorHAnsi" w:cstheme="majorHAnsi"/>
                <w:sz w:val="18"/>
                <w:szCs w:val="18"/>
                <w:lang w:eastAsia="zh-CN"/>
              </w:rPr>
              <w:t>3.4%</w:t>
            </w:r>
          </w:p>
        </w:tc>
        <w:tc>
          <w:tcPr>
            <w:tcW w:w="699" w:type="pct"/>
            <w:shd w:val="clear" w:color="auto" w:fill="auto"/>
            <w:noWrap/>
          </w:tcPr>
          <w:p w:rsidR="002C2D5C" w:rsidRPr="00374C95" w:rsidRDefault="00657A14" w:rsidP="00C378B2">
            <w:pPr>
              <w:spacing w:line="240" w:lineRule="auto"/>
              <w:jc w:val="both"/>
              <w:rPr>
                <w:rFonts w:asciiTheme="majorHAnsi" w:hAnsiTheme="majorHAnsi" w:cstheme="majorHAnsi"/>
                <w:sz w:val="18"/>
                <w:szCs w:val="18"/>
                <w:lang w:eastAsia="zh-CN"/>
              </w:rPr>
            </w:pPr>
            <w:r>
              <w:rPr>
                <w:rFonts w:asciiTheme="majorHAnsi" w:hAnsiTheme="majorHAnsi" w:cstheme="majorHAnsi"/>
                <w:sz w:val="18"/>
                <w:szCs w:val="18"/>
                <w:lang w:eastAsia="zh-CN"/>
              </w:rPr>
              <w:t>16.4%</w:t>
            </w:r>
          </w:p>
        </w:tc>
      </w:tr>
      <w:tr w:rsidR="002C2D5C" w:rsidRPr="005C7909" w:rsidTr="00FE6783">
        <w:trPr>
          <w:trHeight w:val="288"/>
        </w:trPr>
        <w:tc>
          <w:tcPr>
            <w:tcW w:w="1311" w:type="pct"/>
            <w:tcBorders>
              <w:top w:val="nil"/>
              <w:left w:val="single" w:sz="4" w:space="0" w:color="auto"/>
              <w:bottom w:val="nil"/>
              <w:right w:val="single" w:sz="4" w:space="0" w:color="auto"/>
            </w:tcBorders>
            <w:shd w:val="clear" w:color="auto" w:fill="auto"/>
            <w:noWrap/>
            <w:vAlign w:val="center"/>
            <w:hideMark/>
          </w:tcPr>
          <w:p w:rsidR="002C2D5C" w:rsidRPr="00374C95" w:rsidRDefault="002C2D5C" w:rsidP="00FE6783">
            <w:pPr>
              <w:spacing w:line="240" w:lineRule="auto"/>
              <w:rPr>
                <w:rFonts w:asciiTheme="majorHAnsi" w:hAnsiTheme="majorHAnsi" w:cstheme="majorHAnsi"/>
                <w:sz w:val="18"/>
                <w:szCs w:val="18"/>
                <w:lang w:eastAsia="zh-CN"/>
              </w:rPr>
            </w:pPr>
          </w:p>
        </w:tc>
        <w:tc>
          <w:tcPr>
            <w:tcW w:w="1592" w:type="pct"/>
            <w:tcBorders>
              <w:left w:val="single" w:sz="4" w:space="0" w:color="auto"/>
            </w:tcBorders>
            <w:shd w:val="clear" w:color="auto" w:fill="auto"/>
            <w:noWrap/>
            <w:vAlign w:val="center"/>
            <w:hideMark/>
          </w:tcPr>
          <w:p w:rsidR="002C2D5C" w:rsidRPr="00374C95" w:rsidRDefault="002C2D5C" w:rsidP="00FE6783">
            <w:pPr>
              <w:spacing w:line="240" w:lineRule="auto"/>
              <w:rPr>
                <w:rFonts w:asciiTheme="majorHAnsi" w:hAnsiTheme="majorHAnsi" w:cstheme="majorHAnsi"/>
                <w:sz w:val="18"/>
                <w:szCs w:val="18"/>
                <w:lang w:eastAsia="zh-CN"/>
              </w:rPr>
            </w:pPr>
            <w:r w:rsidRPr="00374C95">
              <w:rPr>
                <w:rFonts w:asciiTheme="majorHAnsi" w:hAnsiTheme="majorHAnsi" w:cstheme="majorHAnsi"/>
                <w:sz w:val="18"/>
                <w:szCs w:val="18"/>
                <w:lang w:eastAsia="zh-CN"/>
              </w:rPr>
              <w:t>Parts of a converted or shared house</w:t>
            </w:r>
          </w:p>
        </w:tc>
        <w:tc>
          <w:tcPr>
            <w:tcW w:w="699" w:type="pct"/>
            <w:shd w:val="clear" w:color="auto" w:fill="auto"/>
            <w:noWrap/>
          </w:tcPr>
          <w:p w:rsidR="002C2D5C" w:rsidRPr="00374C95" w:rsidRDefault="00657A14" w:rsidP="00C378B2">
            <w:pPr>
              <w:spacing w:line="240" w:lineRule="auto"/>
              <w:jc w:val="both"/>
              <w:rPr>
                <w:rFonts w:asciiTheme="majorHAnsi" w:hAnsiTheme="majorHAnsi" w:cstheme="majorHAnsi"/>
                <w:sz w:val="18"/>
                <w:szCs w:val="18"/>
                <w:lang w:eastAsia="zh-CN"/>
              </w:rPr>
            </w:pPr>
            <w:r>
              <w:rPr>
                <w:rFonts w:asciiTheme="majorHAnsi" w:hAnsiTheme="majorHAnsi" w:cstheme="majorHAnsi"/>
                <w:sz w:val="18"/>
                <w:szCs w:val="18"/>
                <w:lang w:eastAsia="zh-CN"/>
              </w:rPr>
              <w:t>0.9%</w:t>
            </w:r>
          </w:p>
        </w:tc>
        <w:tc>
          <w:tcPr>
            <w:tcW w:w="699" w:type="pct"/>
            <w:shd w:val="clear" w:color="auto" w:fill="auto"/>
            <w:noWrap/>
          </w:tcPr>
          <w:p w:rsidR="002C2D5C" w:rsidRPr="00374C95" w:rsidRDefault="00657A14" w:rsidP="00C378B2">
            <w:pPr>
              <w:spacing w:line="240" w:lineRule="auto"/>
              <w:jc w:val="both"/>
              <w:rPr>
                <w:rFonts w:asciiTheme="majorHAnsi" w:hAnsiTheme="majorHAnsi" w:cstheme="majorHAnsi"/>
                <w:sz w:val="18"/>
                <w:szCs w:val="18"/>
                <w:lang w:eastAsia="zh-CN"/>
              </w:rPr>
            </w:pPr>
            <w:r>
              <w:rPr>
                <w:rFonts w:asciiTheme="majorHAnsi" w:hAnsiTheme="majorHAnsi" w:cstheme="majorHAnsi"/>
                <w:sz w:val="18"/>
                <w:szCs w:val="18"/>
                <w:lang w:eastAsia="zh-CN"/>
              </w:rPr>
              <w:t>0.6%</w:t>
            </w:r>
          </w:p>
        </w:tc>
        <w:tc>
          <w:tcPr>
            <w:tcW w:w="699" w:type="pct"/>
            <w:shd w:val="clear" w:color="auto" w:fill="auto"/>
            <w:noWrap/>
          </w:tcPr>
          <w:p w:rsidR="002C2D5C" w:rsidRPr="00374C95" w:rsidRDefault="001E7EC9" w:rsidP="00C378B2">
            <w:pPr>
              <w:spacing w:line="240" w:lineRule="auto"/>
              <w:jc w:val="both"/>
              <w:rPr>
                <w:rFonts w:asciiTheme="majorHAnsi" w:hAnsiTheme="majorHAnsi" w:cstheme="majorHAnsi"/>
                <w:sz w:val="18"/>
                <w:szCs w:val="18"/>
                <w:lang w:eastAsia="zh-CN"/>
              </w:rPr>
            </w:pPr>
            <w:r>
              <w:rPr>
                <w:rFonts w:asciiTheme="majorHAnsi" w:hAnsiTheme="majorHAnsi" w:cstheme="majorHAnsi"/>
                <w:sz w:val="18"/>
                <w:szCs w:val="18"/>
                <w:lang w:eastAsia="zh-CN"/>
              </w:rPr>
              <w:t>3.8%</w:t>
            </w:r>
          </w:p>
        </w:tc>
      </w:tr>
      <w:tr w:rsidR="002C2D5C" w:rsidRPr="005C7909" w:rsidTr="00FE6783">
        <w:trPr>
          <w:trHeight w:val="288"/>
        </w:trPr>
        <w:tc>
          <w:tcPr>
            <w:tcW w:w="1311" w:type="pct"/>
            <w:tcBorders>
              <w:top w:val="nil"/>
              <w:left w:val="single" w:sz="4" w:space="0" w:color="auto"/>
              <w:bottom w:val="single" w:sz="4" w:space="0" w:color="auto"/>
              <w:right w:val="single" w:sz="4" w:space="0" w:color="auto"/>
            </w:tcBorders>
            <w:shd w:val="clear" w:color="auto" w:fill="auto"/>
            <w:noWrap/>
            <w:vAlign w:val="center"/>
            <w:hideMark/>
          </w:tcPr>
          <w:p w:rsidR="002C2D5C" w:rsidRPr="00374C95" w:rsidRDefault="002C2D5C" w:rsidP="00FE6783">
            <w:pPr>
              <w:spacing w:line="240" w:lineRule="auto"/>
              <w:rPr>
                <w:rFonts w:asciiTheme="majorHAnsi" w:hAnsiTheme="majorHAnsi" w:cstheme="majorHAnsi"/>
                <w:sz w:val="18"/>
                <w:szCs w:val="18"/>
                <w:lang w:eastAsia="zh-CN"/>
              </w:rPr>
            </w:pPr>
          </w:p>
        </w:tc>
        <w:tc>
          <w:tcPr>
            <w:tcW w:w="1592" w:type="pct"/>
            <w:tcBorders>
              <w:left w:val="single" w:sz="4" w:space="0" w:color="auto"/>
            </w:tcBorders>
            <w:shd w:val="clear" w:color="auto" w:fill="auto"/>
            <w:noWrap/>
            <w:vAlign w:val="center"/>
            <w:hideMark/>
          </w:tcPr>
          <w:p w:rsidR="002C2D5C" w:rsidRPr="00374C95" w:rsidRDefault="002C2D5C" w:rsidP="00FE6783">
            <w:pPr>
              <w:spacing w:line="240" w:lineRule="auto"/>
              <w:rPr>
                <w:rFonts w:asciiTheme="majorHAnsi" w:hAnsiTheme="majorHAnsi" w:cstheme="majorHAnsi"/>
                <w:sz w:val="18"/>
                <w:szCs w:val="18"/>
                <w:lang w:eastAsia="zh-CN"/>
              </w:rPr>
            </w:pPr>
            <w:r w:rsidRPr="00374C95">
              <w:rPr>
                <w:rFonts w:asciiTheme="majorHAnsi" w:hAnsiTheme="majorHAnsi" w:cstheme="majorHAnsi"/>
                <w:sz w:val="18"/>
                <w:szCs w:val="18"/>
                <w:lang w:eastAsia="zh-CN"/>
              </w:rPr>
              <w:t>In commercial building</w:t>
            </w:r>
          </w:p>
        </w:tc>
        <w:tc>
          <w:tcPr>
            <w:tcW w:w="699" w:type="pct"/>
            <w:shd w:val="clear" w:color="auto" w:fill="auto"/>
            <w:noWrap/>
          </w:tcPr>
          <w:p w:rsidR="002C2D5C" w:rsidRPr="00374C95" w:rsidRDefault="00657A14" w:rsidP="00C378B2">
            <w:pPr>
              <w:spacing w:line="240" w:lineRule="auto"/>
              <w:jc w:val="both"/>
              <w:rPr>
                <w:rFonts w:asciiTheme="majorHAnsi" w:hAnsiTheme="majorHAnsi" w:cstheme="majorHAnsi"/>
                <w:sz w:val="18"/>
                <w:szCs w:val="18"/>
                <w:lang w:eastAsia="zh-CN"/>
              </w:rPr>
            </w:pPr>
            <w:r>
              <w:rPr>
                <w:rFonts w:asciiTheme="majorHAnsi" w:hAnsiTheme="majorHAnsi" w:cstheme="majorHAnsi"/>
                <w:sz w:val="18"/>
                <w:szCs w:val="18"/>
                <w:lang w:eastAsia="zh-CN"/>
              </w:rPr>
              <w:t>0.5%</w:t>
            </w:r>
          </w:p>
        </w:tc>
        <w:tc>
          <w:tcPr>
            <w:tcW w:w="699" w:type="pct"/>
            <w:shd w:val="clear" w:color="auto" w:fill="auto"/>
            <w:noWrap/>
          </w:tcPr>
          <w:p w:rsidR="002C2D5C" w:rsidRPr="00374C95" w:rsidRDefault="00657A14" w:rsidP="00C378B2">
            <w:pPr>
              <w:spacing w:line="240" w:lineRule="auto"/>
              <w:jc w:val="both"/>
              <w:rPr>
                <w:rFonts w:asciiTheme="majorHAnsi" w:hAnsiTheme="majorHAnsi" w:cstheme="majorHAnsi"/>
                <w:sz w:val="18"/>
                <w:szCs w:val="18"/>
                <w:lang w:eastAsia="zh-CN"/>
              </w:rPr>
            </w:pPr>
            <w:r>
              <w:rPr>
                <w:rFonts w:asciiTheme="majorHAnsi" w:hAnsiTheme="majorHAnsi" w:cstheme="majorHAnsi"/>
                <w:sz w:val="18"/>
                <w:szCs w:val="18"/>
                <w:lang w:eastAsia="zh-CN"/>
              </w:rPr>
              <w:t>0.5%</w:t>
            </w:r>
          </w:p>
        </w:tc>
        <w:tc>
          <w:tcPr>
            <w:tcW w:w="699" w:type="pct"/>
            <w:shd w:val="clear" w:color="auto" w:fill="auto"/>
            <w:noWrap/>
          </w:tcPr>
          <w:p w:rsidR="002C2D5C" w:rsidRPr="00374C95" w:rsidRDefault="001E7EC9" w:rsidP="00C378B2">
            <w:pPr>
              <w:spacing w:line="240" w:lineRule="auto"/>
              <w:jc w:val="both"/>
              <w:rPr>
                <w:rFonts w:asciiTheme="majorHAnsi" w:hAnsiTheme="majorHAnsi" w:cstheme="majorHAnsi"/>
                <w:sz w:val="18"/>
                <w:szCs w:val="18"/>
                <w:lang w:eastAsia="zh-CN"/>
              </w:rPr>
            </w:pPr>
            <w:r>
              <w:rPr>
                <w:rFonts w:asciiTheme="majorHAnsi" w:hAnsiTheme="majorHAnsi" w:cstheme="majorHAnsi"/>
                <w:sz w:val="18"/>
                <w:szCs w:val="18"/>
                <w:lang w:eastAsia="zh-CN"/>
              </w:rPr>
              <w:t>1.0%</w:t>
            </w:r>
          </w:p>
        </w:tc>
      </w:tr>
    </w:tbl>
    <w:p w:rsidR="002C2D5C" w:rsidRDefault="002C2D5C" w:rsidP="002C2D5C">
      <w:pPr>
        <w:pStyle w:val="Source"/>
        <w:jc w:val="both"/>
        <w:rPr>
          <w:lang w:val="en-GB"/>
        </w:rPr>
      </w:pPr>
      <w:r w:rsidRPr="005C7909">
        <w:rPr>
          <w:lang w:val="en-GB"/>
        </w:rPr>
        <w:t>Source: ONS 2011, AECOM Calculations</w:t>
      </w:r>
    </w:p>
    <w:p w:rsidR="00F14646" w:rsidRPr="00F14646" w:rsidRDefault="00784F10" w:rsidP="00784F10">
      <w:pPr>
        <w:pStyle w:val="Heading3"/>
      </w:pPr>
      <w:bookmarkStart w:id="106" w:name="_Toc33015866"/>
      <w:r>
        <w:t>Dwelling size</w:t>
      </w:r>
      <w:bookmarkEnd w:id="106"/>
    </w:p>
    <w:p w:rsidR="002C2D5C" w:rsidRDefault="001A69AC" w:rsidP="002C2D5C">
      <w:pPr>
        <w:pStyle w:val="ListNumber"/>
        <w:spacing w:before="0"/>
        <w:jc w:val="both"/>
        <w:rPr>
          <w:sz w:val="18"/>
          <w:szCs w:val="18"/>
          <w:lang w:val="en-GB"/>
        </w:rPr>
      </w:pPr>
      <w:fldSimple w:instr=" REF _Ref2598573 \h  \* MERGEFORMAT ">
        <w:r w:rsidR="00E14AFB" w:rsidRPr="002D4F56">
          <w:rPr>
            <w:sz w:val="18"/>
            <w:szCs w:val="18"/>
          </w:rPr>
          <w:t xml:space="preserve">Table </w:t>
        </w:r>
        <w:r w:rsidR="00E14AFB">
          <w:rPr>
            <w:noProof/>
            <w:sz w:val="18"/>
            <w:szCs w:val="18"/>
          </w:rPr>
          <w:t>6</w:t>
        </w:r>
        <w:r w:rsidR="00E14AFB" w:rsidRPr="002D4F56">
          <w:rPr>
            <w:noProof/>
            <w:sz w:val="18"/>
            <w:szCs w:val="18"/>
          </w:rPr>
          <w:noBreakHyphen/>
        </w:r>
        <w:r w:rsidR="00E14AFB">
          <w:rPr>
            <w:noProof/>
            <w:sz w:val="18"/>
            <w:szCs w:val="18"/>
          </w:rPr>
          <w:t>3</w:t>
        </w:r>
      </w:fldSimple>
      <w:r w:rsidR="002C2D5C" w:rsidRPr="00F14646">
        <w:rPr>
          <w:sz w:val="18"/>
          <w:szCs w:val="18"/>
          <w:lang w:val="en-GB"/>
        </w:rPr>
        <w:t xml:space="preserve"> below sets out the distribution of the number of rooms by household space. The housing stock in </w:t>
      </w:r>
      <w:r w:rsidR="005C56B0">
        <w:rPr>
          <w:sz w:val="18"/>
          <w:szCs w:val="18"/>
          <w:lang w:val="en-GB"/>
        </w:rPr>
        <w:t>Reedham</w:t>
      </w:r>
      <w:r w:rsidR="002C2D5C" w:rsidRPr="00F14646">
        <w:rPr>
          <w:sz w:val="18"/>
          <w:szCs w:val="18"/>
          <w:lang w:val="en-GB"/>
        </w:rPr>
        <w:t xml:space="preserve"> is characterised by </w:t>
      </w:r>
      <w:r w:rsidR="003C39C4">
        <w:rPr>
          <w:sz w:val="18"/>
          <w:szCs w:val="18"/>
          <w:lang w:val="en-GB"/>
        </w:rPr>
        <w:t xml:space="preserve">a large number of 5 and 6 bedroom houses – a combined 45% of </w:t>
      </w:r>
      <w:r w:rsidR="00730887">
        <w:rPr>
          <w:sz w:val="18"/>
          <w:szCs w:val="18"/>
          <w:lang w:val="en-GB"/>
        </w:rPr>
        <w:t xml:space="preserve">all </w:t>
      </w:r>
      <w:r w:rsidR="003C39C4">
        <w:rPr>
          <w:sz w:val="18"/>
          <w:szCs w:val="18"/>
          <w:lang w:val="en-GB"/>
        </w:rPr>
        <w:t xml:space="preserve">homes in Reedham. This is a trend </w:t>
      </w:r>
      <w:r w:rsidR="00730887">
        <w:rPr>
          <w:sz w:val="18"/>
          <w:szCs w:val="18"/>
          <w:lang w:val="en-GB"/>
        </w:rPr>
        <w:t xml:space="preserve">shared </w:t>
      </w:r>
      <w:r w:rsidR="003C39C4">
        <w:rPr>
          <w:sz w:val="18"/>
          <w:szCs w:val="18"/>
          <w:lang w:val="en-GB"/>
        </w:rPr>
        <w:t>throughout Broadland</w:t>
      </w:r>
      <w:r w:rsidR="00730887">
        <w:rPr>
          <w:sz w:val="18"/>
          <w:szCs w:val="18"/>
          <w:lang w:val="en-GB"/>
        </w:rPr>
        <w:t>, where</w:t>
      </w:r>
      <w:r w:rsidR="003C39C4">
        <w:rPr>
          <w:sz w:val="18"/>
          <w:szCs w:val="18"/>
          <w:lang w:val="en-GB"/>
        </w:rPr>
        <w:t xml:space="preserve"> 5 and </w:t>
      </w:r>
      <w:r w:rsidR="00390B9B">
        <w:rPr>
          <w:sz w:val="18"/>
          <w:szCs w:val="18"/>
          <w:lang w:val="en-GB"/>
        </w:rPr>
        <w:t xml:space="preserve">6 </w:t>
      </w:r>
      <w:r w:rsidR="003C39C4">
        <w:rPr>
          <w:sz w:val="18"/>
          <w:szCs w:val="18"/>
          <w:lang w:val="en-GB"/>
        </w:rPr>
        <w:t>bedroom houses make up 4</w:t>
      </w:r>
      <w:r w:rsidR="00390B9B">
        <w:rPr>
          <w:sz w:val="18"/>
          <w:szCs w:val="18"/>
          <w:lang w:val="en-GB"/>
        </w:rPr>
        <w:t>7</w:t>
      </w:r>
      <w:r w:rsidR="003C39C4">
        <w:rPr>
          <w:sz w:val="18"/>
          <w:szCs w:val="18"/>
          <w:lang w:val="en-GB"/>
        </w:rPr>
        <w:t xml:space="preserve">.4% of homes. </w:t>
      </w:r>
      <w:r w:rsidR="00730887">
        <w:rPr>
          <w:sz w:val="18"/>
          <w:szCs w:val="18"/>
          <w:lang w:val="en-GB"/>
        </w:rPr>
        <w:t>T</w:t>
      </w:r>
      <w:r w:rsidR="00B2009D">
        <w:rPr>
          <w:sz w:val="18"/>
          <w:szCs w:val="18"/>
          <w:lang w:val="en-GB"/>
        </w:rPr>
        <w:t>he housing stock in the NA is</w:t>
      </w:r>
      <w:r w:rsidR="00730887">
        <w:rPr>
          <w:sz w:val="18"/>
          <w:szCs w:val="18"/>
          <w:lang w:val="en-GB"/>
        </w:rPr>
        <w:t>, however,</w:t>
      </w:r>
      <w:r w:rsidR="00B2009D">
        <w:rPr>
          <w:sz w:val="18"/>
          <w:szCs w:val="18"/>
          <w:lang w:val="en-GB"/>
        </w:rPr>
        <w:t xml:space="preserve"> characterised by a notably larger share of homes with 7 rooms or more than see</w:t>
      </w:r>
      <w:r w:rsidR="008B4795">
        <w:rPr>
          <w:sz w:val="18"/>
          <w:szCs w:val="18"/>
          <w:lang w:val="en-GB"/>
        </w:rPr>
        <w:t>n</w:t>
      </w:r>
      <w:r w:rsidR="00B2009D">
        <w:rPr>
          <w:sz w:val="18"/>
          <w:szCs w:val="18"/>
          <w:lang w:val="en-GB"/>
        </w:rPr>
        <w:t xml:space="preserve"> at Borough level – a combined 34.3% compared with 32.8% in Broadland. </w:t>
      </w:r>
      <w:r w:rsidR="008B4795">
        <w:rPr>
          <w:sz w:val="18"/>
          <w:szCs w:val="18"/>
          <w:lang w:val="en-GB"/>
        </w:rPr>
        <w:t>There are consequently proportionally fewer smaller homes in Reedham. There are no 1 bedroom properties.</w:t>
      </w:r>
    </w:p>
    <w:p w:rsidR="0042428A" w:rsidRDefault="0042428A" w:rsidP="0042428A">
      <w:pPr>
        <w:pStyle w:val="ListNumber"/>
        <w:numPr>
          <w:ilvl w:val="0"/>
          <w:numId w:val="0"/>
        </w:numPr>
        <w:spacing w:before="0"/>
        <w:ind w:left="425" w:hanging="425"/>
        <w:jc w:val="both"/>
        <w:rPr>
          <w:sz w:val="18"/>
          <w:szCs w:val="18"/>
          <w:lang w:val="en-GB"/>
        </w:rPr>
      </w:pPr>
    </w:p>
    <w:p w:rsidR="0042428A" w:rsidRDefault="0042428A" w:rsidP="0042428A">
      <w:pPr>
        <w:pStyle w:val="ListNumber"/>
        <w:numPr>
          <w:ilvl w:val="0"/>
          <w:numId w:val="0"/>
        </w:numPr>
        <w:spacing w:before="0"/>
        <w:ind w:left="425" w:hanging="425"/>
        <w:jc w:val="both"/>
        <w:rPr>
          <w:sz w:val="18"/>
          <w:szCs w:val="18"/>
          <w:lang w:val="en-GB"/>
        </w:rPr>
      </w:pPr>
    </w:p>
    <w:p w:rsidR="0042428A" w:rsidRDefault="0042428A" w:rsidP="0042428A">
      <w:pPr>
        <w:pStyle w:val="ListNumber"/>
        <w:numPr>
          <w:ilvl w:val="0"/>
          <w:numId w:val="0"/>
        </w:numPr>
        <w:spacing w:before="0"/>
        <w:ind w:left="425" w:hanging="425"/>
        <w:jc w:val="both"/>
        <w:rPr>
          <w:sz w:val="18"/>
          <w:szCs w:val="18"/>
          <w:lang w:val="en-GB"/>
        </w:rPr>
      </w:pPr>
    </w:p>
    <w:p w:rsidR="0042428A" w:rsidRDefault="0042428A" w:rsidP="0042428A">
      <w:pPr>
        <w:pStyle w:val="ListNumber"/>
        <w:numPr>
          <w:ilvl w:val="0"/>
          <w:numId w:val="0"/>
        </w:numPr>
        <w:spacing w:before="0"/>
        <w:ind w:left="425" w:hanging="425"/>
        <w:jc w:val="both"/>
        <w:rPr>
          <w:sz w:val="18"/>
          <w:szCs w:val="18"/>
          <w:lang w:val="en-GB"/>
        </w:rPr>
      </w:pPr>
    </w:p>
    <w:p w:rsidR="0042428A" w:rsidRDefault="0042428A" w:rsidP="0042428A">
      <w:pPr>
        <w:pStyle w:val="ListNumber"/>
        <w:numPr>
          <w:ilvl w:val="0"/>
          <w:numId w:val="0"/>
        </w:numPr>
        <w:spacing w:before="0"/>
        <w:ind w:left="425" w:hanging="425"/>
        <w:jc w:val="both"/>
        <w:rPr>
          <w:sz w:val="18"/>
          <w:szCs w:val="18"/>
          <w:lang w:val="en-GB"/>
        </w:rPr>
      </w:pPr>
    </w:p>
    <w:p w:rsidR="0042428A" w:rsidRDefault="0042428A" w:rsidP="0042428A">
      <w:pPr>
        <w:pStyle w:val="ListNumber"/>
        <w:numPr>
          <w:ilvl w:val="0"/>
          <w:numId w:val="0"/>
        </w:numPr>
        <w:spacing w:before="0"/>
        <w:ind w:left="425" w:hanging="425"/>
        <w:jc w:val="both"/>
        <w:rPr>
          <w:sz w:val="18"/>
          <w:szCs w:val="18"/>
          <w:lang w:val="en-GB"/>
        </w:rPr>
      </w:pPr>
    </w:p>
    <w:p w:rsidR="0042428A" w:rsidRPr="00F14646" w:rsidRDefault="0042428A" w:rsidP="0042428A">
      <w:pPr>
        <w:pStyle w:val="ListNumber"/>
        <w:numPr>
          <w:ilvl w:val="0"/>
          <w:numId w:val="0"/>
        </w:numPr>
        <w:spacing w:before="0"/>
        <w:ind w:left="425" w:hanging="425"/>
        <w:jc w:val="both"/>
        <w:rPr>
          <w:sz w:val="18"/>
          <w:szCs w:val="18"/>
          <w:lang w:val="en-GB"/>
        </w:rPr>
      </w:pPr>
    </w:p>
    <w:p w:rsidR="002C2D5C" w:rsidRPr="002D4F56" w:rsidRDefault="002C2D5C" w:rsidP="002C2D5C">
      <w:pPr>
        <w:pStyle w:val="Caption"/>
        <w:jc w:val="both"/>
        <w:rPr>
          <w:sz w:val="18"/>
          <w:szCs w:val="18"/>
          <w:highlight w:val="yellow"/>
        </w:rPr>
      </w:pPr>
      <w:bookmarkStart w:id="107" w:name="_Ref2598573"/>
      <w:r w:rsidRPr="002D4F56">
        <w:rPr>
          <w:sz w:val="18"/>
          <w:szCs w:val="18"/>
        </w:rPr>
        <w:lastRenderedPageBreak/>
        <w:t xml:space="preserve">Table </w:t>
      </w:r>
      <w:r w:rsidR="001A69AC" w:rsidRPr="002D4F56">
        <w:rPr>
          <w:noProof/>
          <w:sz w:val="18"/>
          <w:szCs w:val="18"/>
        </w:rPr>
        <w:fldChar w:fldCharType="begin"/>
      </w:r>
      <w:r w:rsidRPr="002D4F56">
        <w:rPr>
          <w:noProof/>
          <w:sz w:val="18"/>
          <w:szCs w:val="18"/>
        </w:rPr>
        <w:instrText xml:space="preserve"> STYLEREF 1 \s </w:instrText>
      </w:r>
      <w:r w:rsidR="001A69AC" w:rsidRPr="002D4F56">
        <w:rPr>
          <w:noProof/>
          <w:sz w:val="18"/>
          <w:szCs w:val="18"/>
        </w:rPr>
        <w:fldChar w:fldCharType="separate"/>
      </w:r>
      <w:r w:rsidR="00E14AFB">
        <w:rPr>
          <w:noProof/>
          <w:sz w:val="18"/>
          <w:szCs w:val="18"/>
        </w:rPr>
        <w:t>6</w:t>
      </w:r>
      <w:r w:rsidR="001A69AC" w:rsidRPr="002D4F56">
        <w:rPr>
          <w:noProof/>
          <w:sz w:val="18"/>
          <w:szCs w:val="18"/>
        </w:rPr>
        <w:fldChar w:fldCharType="end"/>
      </w:r>
      <w:r w:rsidRPr="002D4F56">
        <w:rPr>
          <w:sz w:val="18"/>
          <w:szCs w:val="18"/>
        </w:rPr>
        <w:noBreakHyphen/>
      </w:r>
      <w:r w:rsidR="001A69AC" w:rsidRPr="002D4F56">
        <w:rPr>
          <w:noProof/>
          <w:sz w:val="18"/>
          <w:szCs w:val="18"/>
        </w:rPr>
        <w:fldChar w:fldCharType="begin"/>
      </w:r>
      <w:r w:rsidRPr="002D4F56">
        <w:rPr>
          <w:noProof/>
          <w:sz w:val="18"/>
          <w:szCs w:val="18"/>
        </w:rPr>
        <w:instrText xml:space="preserve"> SEQ Table \* ARABIC \s 1 </w:instrText>
      </w:r>
      <w:r w:rsidR="001A69AC" w:rsidRPr="002D4F56">
        <w:rPr>
          <w:noProof/>
          <w:sz w:val="18"/>
          <w:szCs w:val="18"/>
        </w:rPr>
        <w:fldChar w:fldCharType="separate"/>
      </w:r>
      <w:r w:rsidR="00E14AFB">
        <w:rPr>
          <w:noProof/>
          <w:sz w:val="18"/>
          <w:szCs w:val="18"/>
        </w:rPr>
        <w:t>3</w:t>
      </w:r>
      <w:r w:rsidR="001A69AC" w:rsidRPr="002D4F56">
        <w:rPr>
          <w:noProof/>
          <w:sz w:val="18"/>
          <w:szCs w:val="18"/>
        </w:rPr>
        <w:fldChar w:fldCharType="end"/>
      </w:r>
      <w:bookmarkEnd w:id="107"/>
      <w:r w:rsidRPr="002D4F56">
        <w:rPr>
          <w:sz w:val="18"/>
          <w:szCs w:val="18"/>
        </w:rPr>
        <w:t>: Number of rooms per household</w:t>
      </w:r>
      <w:r w:rsidR="001F14A3" w:rsidRPr="002D4F56">
        <w:rPr>
          <w:sz w:val="18"/>
          <w:szCs w:val="18"/>
        </w:rPr>
        <w:t xml:space="preserve"> in </w:t>
      </w:r>
      <w:r w:rsidR="00914EAA">
        <w:rPr>
          <w:sz w:val="18"/>
          <w:szCs w:val="18"/>
        </w:rPr>
        <w:t>Reedham</w:t>
      </w:r>
      <w:r w:rsidRPr="002D4F56">
        <w:rPr>
          <w:sz w:val="18"/>
          <w:szCs w:val="18"/>
        </w:rPr>
        <w:t>, 2011</w:t>
      </w:r>
    </w:p>
    <w:tbl>
      <w:tblPr>
        <w:tblW w:w="4791"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86"/>
        <w:gridCol w:w="3172"/>
        <w:gridCol w:w="3172"/>
      </w:tblGrid>
      <w:tr w:rsidR="002C2D5C" w:rsidRPr="00374C95" w:rsidTr="00C378B2">
        <w:trPr>
          <w:trHeight w:val="288"/>
        </w:trPr>
        <w:tc>
          <w:tcPr>
            <w:tcW w:w="1706" w:type="pct"/>
            <w:shd w:val="clear" w:color="auto" w:fill="000000" w:themeFill="text2"/>
            <w:noWrap/>
            <w:vAlign w:val="center"/>
            <w:hideMark/>
          </w:tcPr>
          <w:p w:rsidR="002C2D5C" w:rsidRPr="00374C95" w:rsidRDefault="002C2D5C" w:rsidP="00C378B2">
            <w:pPr>
              <w:spacing w:line="240" w:lineRule="auto"/>
              <w:jc w:val="both"/>
              <w:rPr>
                <w:rFonts w:cstheme="minorHAnsi"/>
                <w:b/>
                <w:color w:val="FFFFFF" w:themeColor="background1"/>
                <w:sz w:val="18"/>
                <w:szCs w:val="18"/>
                <w:highlight w:val="yellow"/>
                <w:lang w:eastAsia="zh-CN"/>
              </w:rPr>
            </w:pPr>
          </w:p>
        </w:tc>
        <w:tc>
          <w:tcPr>
            <w:tcW w:w="1647" w:type="pct"/>
            <w:shd w:val="clear" w:color="auto" w:fill="000000" w:themeFill="text2"/>
            <w:noWrap/>
            <w:vAlign w:val="center"/>
            <w:hideMark/>
          </w:tcPr>
          <w:p w:rsidR="002C2D5C" w:rsidRPr="00374C95" w:rsidRDefault="002C2D5C" w:rsidP="00C378B2">
            <w:pPr>
              <w:spacing w:line="240" w:lineRule="auto"/>
              <w:jc w:val="both"/>
              <w:rPr>
                <w:rFonts w:cstheme="minorHAnsi"/>
                <w:b/>
                <w:color w:val="FFFFFF" w:themeColor="background1"/>
                <w:sz w:val="18"/>
                <w:szCs w:val="18"/>
                <w:lang w:eastAsia="zh-CN"/>
              </w:rPr>
            </w:pPr>
            <w:r w:rsidRPr="00374C95">
              <w:rPr>
                <w:rFonts w:cstheme="minorHAnsi"/>
                <w:b/>
                <w:color w:val="FFFFFF" w:themeColor="background1"/>
                <w:sz w:val="18"/>
                <w:szCs w:val="18"/>
                <w:lang w:eastAsia="zh-CN"/>
              </w:rPr>
              <w:t>2011</w:t>
            </w:r>
          </w:p>
        </w:tc>
        <w:tc>
          <w:tcPr>
            <w:tcW w:w="1647" w:type="pct"/>
            <w:shd w:val="clear" w:color="auto" w:fill="000000" w:themeFill="text2"/>
            <w:noWrap/>
            <w:vAlign w:val="center"/>
            <w:hideMark/>
          </w:tcPr>
          <w:p w:rsidR="002C2D5C" w:rsidRPr="00374C95" w:rsidRDefault="002C2D5C" w:rsidP="00C378B2">
            <w:pPr>
              <w:spacing w:line="240" w:lineRule="auto"/>
              <w:jc w:val="both"/>
              <w:rPr>
                <w:rFonts w:cstheme="minorHAnsi"/>
                <w:b/>
                <w:color w:val="FFFFFF" w:themeColor="background1"/>
                <w:sz w:val="18"/>
                <w:szCs w:val="18"/>
                <w:lang w:eastAsia="zh-CN"/>
              </w:rPr>
            </w:pPr>
            <w:r w:rsidRPr="00374C95">
              <w:rPr>
                <w:rFonts w:cstheme="minorHAnsi"/>
                <w:b/>
                <w:color w:val="FFFFFF" w:themeColor="background1"/>
                <w:sz w:val="18"/>
                <w:szCs w:val="18"/>
                <w:lang w:eastAsia="zh-CN"/>
              </w:rPr>
              <w:t>2011</w:t>
            </w:r>
          </w:p>
        </w:tc>
      </w:tr>
      <w:tr w:rsidR="002C2D5C" w:rsidRPr="00374C95" w:rsidTr="00C378B2">
        <w:trPr>
          <w:trHeight w:val="288"/>
        </w:trPr>
        <w:tc>
          <w:tcPr>
            <w:tcW w:w="1706" w:type="pct"/>
            <w:shd w:val="clear" w:color="auto" w:fill="000000" w:themeFill="text2"/>
            <w:noWrap/>
            <w:vAlign w:val="center"/>
            <w:hideMark/>
          </w:tcPr>
          <w:p w:rsidR="002C2D5C" w:rsidRPr="00374C95" w:rsidRDefault="002C2D5C" w:rsidP="00C378B2">
            <w:pPr>
              <w:spacing w:line="240" w:lineRule="auto"/>
              <w:jc w:val="both"/>
              <w:rPr>
                <w:rFonts w:cstheme="minorHAnsi"/>
                <w:b/>
                <w:bCs/>
                <w:color w:val="FFFFFF" w:themeColor="background1"/>
                <w:sz w:val="18"/>
                <w:szCs w:val="18"/>
                <w:lang w:eastAsia="zh-CN"/>
              </w:rPr>
            </w:pPr>
            <w:r w:rsidRPr="00374C95">
              <w:rPr>
                <w:rFonts w:cstheme="minorHAnsi"/>
                <w:b/>
                <w:bCs/>
                <w:color w:val="FFFFFF" w:themeColor="background1"/>
                <w:sz w:val="18"/>
                <w:szCs w:val="18"/>
                <w:lang w:eastAsia="zh-CN"/>
              </w:rPr>
              <w:t>Number of Rooms</w:t>
            </w:r>
          </w:p>
        </w:tc>
        <w:tc>
          <w:tcPr>
            <w:tcW w:w="1647" w:type="pct"/>
            <w:shd w:val="clear" w:color="auto" w:fill="000000" w:themeFill="text2"/>
            <w:noWrap/>
            <w:vAlign w:val="center"/>
            <w:hideMark/>
          </w:tcPr>
          <w:p w:rsidR="002C2D5C" w:rsidRPr="00374C95" w:rsidRDefault="00914EAA" w:rsidP="00C378B2">
            <w:pPr>
              <w:spacing w:line="240" w:lineRule="auto"/>
              <w:jc w:val="both"/>
              <w:rPr>
                <w:rFonts w:cstheme="minorHAnsi"/>
                <w:b/>
                <w:color w:val="FFFFFF" w:themeColor="background1"/>
                <w:sz w:val="18"/>
                <w:szCs w:val="18"/>
                <w:lang w:eastAsia="zh-CN"/>
              </w:rPr>
            </w:pPr>
            <w:r>
              <w:rPr>
                <w:rFonts w:cstheme="minorHAnsi"/>
                <w:b/>
                <w:color w:val="FFFFFF" w:themeColor="background1"/>
                <w:sz w:val="18"/>
                <w:szCs w:val="18"/>
                <w:lang w:eastAsia="zh-CN"/>
              </w:rPr>
              <w:t>Reedham</w:t>
            </w:r>
          </w:p>
        </w:tc>
        <w:tc>
          <w:tcPr>
            <w:tcW w:w="1647" w:type="pct"/>
            <w:shd w:val="clear" w:color="auto" w:fill="000000" w:themeFill="text2"/>
            <w:noWrap/>
            <w:vAlign w:val="center"/>
            <w:hideMark/>
          </w:tcPr>
          <w:p w:rsidR="002C2D5C" w:rsidRPr="00374C95" w:rsidRDefault="00914EAA" w:rsidP="00C378B2">
            <w:pPr>
              <w:spacing w:line="240" w:lineRule="auto"/>
              <w:jc w:val="both"/>
              <w:rPr>
                <w:rFonts w:cstheme="minorHAnsi"/>
                <w:b/>
                <w:color w:val="FFFFFF" w:themeColor="background1"/>
                <w:sz w:val="18"/>
                <w:szCs w:val="18"/>
                <w:lang w:eastAsia="zh-CN"/>
              </w:rPr>
            </w:pPr>
            <w:r>
              <w:rPr>
                <w:rFonts w:cstheme="minorHAnsi"/>
                <w:b/>
                <w:color w:val="FFFFFF" w:themeColor="background1"/>
                <w:sz w:val="18"/>
                <w:szCs w:val="18"/>
                <w:lang w:eastAsia="zh-CN"/>
              </w:rPr>
              <w:t>Broadland</w:t>
            </w:r>
          </w:p>
        </w:tc>
      </w:tr>
      <w:tr w:rsidR="002C2D5C" w:rsidRPr="00374C95" w:rsidTr="00914EAA">
        <w:trPr>
          <w:trHeight w:val="288"/>
        </w:trPr>
        <w:tc>
          <w:tcPr>
            <w:tcW w:w="1706" w:type="pct"/>
            <w:shd w:val="clear" w:color="auto" w:fill="auto"/>
            <w:noWrap/>
            <w:vAlign w:val="center"/>
            <w:hideMark/>
          </w:tcPr>
          <w:p w:rsidR="002C2D5C" w:rsidRPr="00374C95" w:rsidRDefault="002C2D5C" w:rsidP="00C378B2">
            <w:pPr>
              <w:spacing w:line="240" w:lineRule="auto"/>
              <w:jc w:val="both"/>
              <w:rPr>
                <w:rFonts w:cstheme="minorHAnsi"/>
                <w:sz w:val="18"/>
                <w:szCs w:val="18"/>
                <w:lang w:eastAsia="zh-CN"/>
              </w:rPr>
            </w:pPr>
            <w:r w:rsidRPr="00374C95">
              <w:rPr>
                <w:rFonts w:cstheme="minorHAnsi"/>
                <w:sz w:val="18"/>
                <w:szCs w:val="18"/>
                <w:lang w:eastAsia="zh-CN"/>
              </w:rPr>
              <w:t>1 Room</w:t>
            </w:r>
          </w:p>
        </w:tc>
        <w:tc>
          <w:tcPr>
            <w:tcW w:w="1647" w:type="pct"/>
            <w:shd w:val="clear" w:color="auto" w:fill="auto"/>
            <w:noWrap/>
          </w:tcPr>
          <w:p w:rsidR="002C2D5C" w:rsidRPr="00374C95" w:rsidRDefault="003C39C4" w:rsidP="00C378B2">
            <w:pPr>
              <w:spacing w:line="240" w:lineRule="auto"/>
              <w:jc w:val="both"/>
              <w:rPr>
                <w:rFonts w:cstheme="minorHAnsi"/>
                <w:sz w:val="18"/>
                <w:szCs w:val="18"/>
                <w:lang w:eastAsia="zh-CN"/>
              </w:rPr>
            </w:pPr>
            <w:r>
              <w:rPr>
                <w:rFonts w:cstheme="minorHAnsi"/>
                <w:sz w:val="18"/>
                <w:szCs w:val="18"/>
                <w:lang w:eastAsia="zh-CN"/>
              </w:rPr>
              <w:t>0.0%</w:t>
            </w:r>
          </w:p>
        </w:tc>
        <w:tc>
          <w:tcPr>
            <w:tcW w:w="1647" w:type="pct"/>
            <w:shd w:val="clear" w:color="auto" w:fill="auto"/>
            <w:noWrap/>
          </w:tcPr>
          <w:p w:rsidR="002C2D5C" w:rsidRPr="00374C95" w:rsidRDefault="003C39C4" w:rsidP="00C378B2">
            <w:pPr>
              <w:spacing w:line="240" w:lineRule="auto"/>
              <w:jc w:val="both"/>
              <w:rPr>
                <w:rFonts w:cstheme="minorHAnsi"/>
                <w:sz w:val="18"/>
                <w:szCs w:val="18"/>
                <w:lang w:eastAsia="zh-CN"/>
              </w:rPr>
            </w:pPr>
            <w:r>
              <w:rPr>
                <w:rFonts w:cstheme="minorHAnsi"/>
                <w:sz w:val="18"/>
                <w:szCs w:val="18"/>
                <w:lang w:eastAsia="zh-CN"/>
              </w:rPr>
              <w:t>0.1%</w:t>
            </w:r>
          </w:p>
        </w:tc>
      </w:tr>
      <w:tr w:rsidR="002C2D5C" w:rsidRPr="00374C95" w:rsidTr="00914EAA">
        <w:trPr>
          <w:trHeight w:val="288"/>
        </w:trPr>
        <w:tc>
          <w:tcPr>
            <w:tcW w:w="1706" w:type="pct"/>
            <w:shd w:val="clear" w:color="auto" w:fill="auto"/>
            <w:noWrap/>
            <w:vAlign w:val="center"/>
            <w:hideMark/>
          </w:tcPr>
          <w:p w:rsidR="002C2D5C" w:rsidRPr="00374C95" w:rsidRDefault="002C2D5C" w:rsidP="00C378B2">
            <w:pPr>
              <w:spacing w:line="240" w:lineRule="auto"/>
              <w:jc w:val="both"/>
              <w:rPr>
                <w:rFonts w:cstheme="minorHAnsi"/>
                <w:sz w:val="18"/>
                <w:szCs w:val="18"/>
                <w:lang w:eastAsia="zh-CN"/>
              </w:rPr>
            </w:pPr>
            <w:r w:rsidRPr="00374C95">
              <w:rPr>
                <w:rFonts w:cstheme="minorHAnsi"/>
                <w:sz w:val="18"/>
                <w:szCs w:val="18"/>
                <w:lang w:eastAsia="zh-CN"/>
              </w:rPr>
              <w:t>2 Rooms</w:t>
            </w:r>
          </w:p>
        </w:tc>
        <w:tc>
          <w:tcPr>
            <w:tcW w:w="1647" w:type="pct"/>
            <w:shd w:val="clear" w:color="auto" w:fill="auto"/>
            <w:noWrap/>
          </w:tcPr>
          <w:p w:rsidR="002C2D5C" w:rsidRPr="00374C95" w:rsidRDefault="003C39C4" w:rsidP="00C378B2">
            <w:pPr>
              <w:spacing w:line="240" w:lineRule="auto"/>
              <w:jc w:val="both"/>
              <w:rPr>
                <w:rFonts w:cstheme="minorHAnsi"/>
                <w:sz w:val="18"/>
                <w:szCs w:val="18"/>
                <w:lang w:eastAsia="zh-CN"/>
              </w:rPr>
            </w:pPr>
            <w:r>
              <w:rPr>
                <w:rFonts w:cstheme="minorHAnsi"/>
                <w:sz w:val="18"/>
                <w:szCs w:val="18"/>
                <w:lang w:eastAsia="zh-CN"/>
              </w:rPr>
              <w:t>0.4%</w:t>
            </w:r>
          </w:p>
        </w:tc>
        <w:tc>
          <w:tcPr>
            <w:tcW w:w="1647" w:type="pct"/>
            <w:shd w:val="clear" w:color="auto" w:fill="auto"/>
            <w:noWrap/>
          </w:tcPr>
          <w:p w:rsidR="002C2D5C" w:rsidRPr="00374C95" w:rsidRDefault="003C39C4" w:rsidP="00C378B2">
            <w:pPr>
              <w:spacing w:line="240" w:lineRule="auto"/>
              <w:jc w:val="both"/>
              <w:rPr>
                <w:rFonts w:cstheme="minorHAnsi"/>
                <w:sz w:val="18"/>
                <w:szCs w:val="18"/>
                <w:lang w:eastAsia="zh-CN"/>
              </w:rPr>
            </w:pPr>
            <w:r>
              <w:rPr>
                <w:rFonts w:cstheme="minorHAnsi"/>
                <w:sz w:val="18"/>
                <w:szCs w:val="18"/>
                <w:lang w:eastAsia="zh-CN"/>
              </w:rPr>
              <w:t>0.6%</w:t>
            </w:r>
          </w:p>
        </w:tc>
      </w:tr>
      <w:tr w:rsidR="002C2D5C" w:rsidRPr="00374C95" w:rsidTr="00914EAA">
        <w:trPr>
          <w:trHeight w:val="288"/>
        </w:trPr>
        <w:tc>
          <w:tcPr>
            <w:tcW w:w="1706" w:type="pct"/>
            <w:shd w:val="clear" w:color="auto" w:fill="auto"/>
            <w:noWrap/>
            <w:vAlign w:val="center"/>
            <w:hideMark/>
          </w:tcPr>
          <w:p w:rsidR="002C2D5C" w:rsidRPr="00374C95" w:rsidRDefault="002C2D5C" w:rsidP="00C378B2">
            <w:pPr>
              <w:spacing w:line="240" w:lineRule="auto"/>
              <w:jc w:val="both"/>
              <w:rPr>
                <w:rFonts w:cstheme="minorHAnsi"/>
                <w:sz w:val="18"/>
                <w:szCs w:val="18"/>
                <w:lang w:eastAsia="zh-CN"/>
              </w:rPr>
            </w:pPr>
            <w:r w:rsidRPr="00374C95">
              <w:rPr>
                <w:rFonts w:cstheme="minorHAnsi"/>
                <w:sz w:val="18"/>
                <w:szCs w:val="18"/>
                <w:lang w:eastAsia="zh-CN"/>
              </w:rPr>
              <w:t>3 Rooms</w:t>
            </w:r>
          </w:p>
        </w:tc>
        <w:tc>
          <w:tcPr>
            <w:tcW w:w="1647" w:type="pct"/>
            <w:shd w:val="clear" w:color="auto" w:fill="auto"/>
            <w:noWrap/>
          </w:tcPr>
          <w:p w:rsidR="002C2D5C" w:rsidRPr="00374C95" w:rsidRDefault="003C39C4" w:rsidP="00C378B2">
            <w:pPr>
              <w:spacing w:line="240" w:lineRule="auto"/>
              <w:jc w:val="both"/>
              <w:rPr>
                <w:rFonts w:cstheme="minorHAnsi"/>
                <w:sz w:val="18"/>
                <w:szCs w:val="18"/>
                <w:lang w:eastAsia="zh-CN"/>
              </w:rPr>
            </w:pPr>
            <w:r>
              <w:rPr>
                <w:rFonts w:cstheme="minorHAnsi"/>
                <w:sz w:val="18"/>
                <w:szCs w:val="18"/>
                <w:lang w:eastAsia="zh-CN"/>
              </w:rPr>
              <w:t>4.6%</w:t>
            </w:r>
          </w:p>
        </w:tc>
        <w:tc>
          <w:tcPr>
            <w:tcW w:w="1647" w:type="pct"/>
            <w:shd w:val="clear" w:color="auto" w:fill="auto"/>
            <w:noWrap/>
          </w:tcPr>
          <w:p w:rsidR="002C2D5C" w:rsidRPr="00374C95" w:rsidRDefault="003C39C4" w:rsidP="00C378B2">
            <w:pPr>
              <w:spacing w:line="240" w:lineRule="auto"/>
              <w:jc w:val="both"/>
              <w:rPr>
                <w:rFonts w:cstheme="minorHAnsi"/>
                <w:sz w:val="18"/>
                <w:szCs w:val="18"/>
                <w:lang w:eastAsia="zh-CN"/>
              </w:rPr>
            </w:pPr>
            <w:r>
              <w:rPr>
                <w:rFonts w:cstheme="minorHAnsi"/>
                <w:sz w:val="18"/>
                <w:szCs w:val="18"/>
                <w:lang w:eastAsia="zh-CN"/>
              </w:rPr>
              <w:t>4.4%</w:t>
            </w:r>
          </w:p>
        </w:tc>
      </w:tr>
      <w:tr w:rsidR="002C2D5C" w:rsidRPr="00374C95" w:rsidTr="00914EAA">
        <w:trPr>
          <w:trHeight w:val="288"/>
        </w:trPr>
        <w:tc>
          <w:tcPr>
            <w:tcW w:w="1706" w:type="pct"/>
            <w:shd w:val="clear" w:color="auto" w:fill="auto"/>
            <w:noWrap/>
            <w:vAlign w:val="center"/>
            <w:hideMark/>
          </w:tcPr>
          <w:p w:rsidR="002C2D5C" w:rsidRPr="00374C95" w:rsidRDefault="002C2D5C" w:rsidP="00C378B2">
            <w:pPr>
              <w:spacing w:line="240" w:lineRule="auto"/>
              <w:jc w:val="both"/>
              <w:rPr>
                <w:rFonts w:cstheme="minorHAnsi"/>
                <w:sz w:val="18"/>
                <w:szCs w:val="18"/>
                <w:lang w:eastAsia="zh-CN"/>
              </w:rPr>
            </w:pPr>
            <w:r w:rsidRPr="00374C95">
              <w:rPr>
                <w:rFonts w:cstheme="minorHAnsi"/>
                <w:sz w:val="18"/>
                <w:szCs w:val="18"/>
                <w:lang w:eastAsia="zh-CN"/>
              </w:rPr>
              <w:t>4 Rooms</w:t>
            </w:r>
          </w:p>
        </w:tc>
        <w:tc>
          <w:tcPr>
            <w:tcW w:w="1647" w:type="pct"/>
            <w:shd w:val="clear" w:color="auto" w:fill="auto"/>
            <w:noWrap/>
          </w:tcPr>
          <w:p w:rsidR="002C2D5C" w:rsidRPr="00374C95" w:rsidRDefault="003C39C4" w:rsidP="00C378B2">
            <w:pPr>
              <w:spacing w:line="240" w:lineRule="auto"/>
              <w:jc w:val="both"/>
              <w:rPr>
                <w:rFonts w:cstheme="minorHAnsi"/>
                <w:sz w:val="18"/>
                <w:szCs w:val="18"/>
                <w:lang w:eastAsia="zh-CN"/>
              </w:rPr>
            </w:pPr>
            <w:r>
              <w:rPr>
                <w:rFonts w:cstheme="minorHAnsi"/>
                <w:sz w:val="18"/>
                <w:szCs w:val="18"/>
                <w:lang w:eastAsia="zh-CN"/>
              </w:rPr>
              <w:t>15.8%</w:t>
            </w:r>
          </w:p>
        </w:tc>
        <w:tc>
          <w:tcPr>
            <w:tcW w:w="1647" w:type="pct"/>
            <w:shd w:val="clear" w:color="auto" w:fill="auto"/>
            <w:noWrap/>
          </w:tcPr>
          <w:p w:rsidR="002C2D5C" w:rsidRPr="00374C95" w:rsidRDefault="003C39C4" w:rsidP="00C378B2">
            <w:pPr>
              <w:spacing w:line="240" w:lineRule="auto"/>
              <w:jc w:val="both"/>
              <w:rPr>
                <w:rFonts w:cstheme="minorHAnsi"/>
                <w:sz w:val="18"/>
                <w:szCs w:val="18"/>
                <w:lang w:eastAsia="zh-CN"/>
              </w:rPr>
            </w:pPr>
            <w:r>
              <w:rPr>
                <w:rFonts w:cstheme="minorHAnsi"/>
                <w:sz w:val="18"/>
                <w:szCs w:val="18"/>
                <w:lang w:eastAsia="zh-CN"/>
              </w:rPr>
              <w:t>14.7%</w:t>
            </w:r>
          </w:p>
        </w:tc>
      </w:tr>
      <w:tr w:rsidR="002C2D5C" w:rsidRPr="00374C95" w:rsidTr="00914EAA">
        <w:trPr>
          <w:trHeight w:val="288"/>
        </w:trPr>
        <w:tc>
          <w:tcPr>
            <w:tcW w:w="1706" w:type="pct"/>
            <w:shd w:val="clear" w:color="auto" w:fill="auto"/>
            <w:noWrap/>
            <w:vAlign w:val="center"/>
            <w:hideMark/>
          </w:tcPr>
          <w:p w:rsidR="002C2D5C" w:rsidRPr="00374C95" w:rsidRDefault="002C2D5C" w:rsidP="00C378B2">
            <w:pPr>
              <w:spacing w:line="240" w:lineRule="auto"/>
              <w:jc w:val="both"/>
              <w:rPr>
                <w:rFonts w:cstheme="minorHAnsi"/>
                <w:sz w:val="18"/>
                <w:szCs w:val="18"/>
                <w:lang w:eastAsia="zh-CN"/>
              </w:rPr>
            </w:pPr>
            <w:r w:rsidRPr="00374C95">
              <w:rPr>
                <w:rFonts w:cstheme="minorHAnsi"/>
                <w:sz w:val="18"/>
                <w:szCs w:val="18"/>
                <w:lang w:eastAsia="zh-CN"/>
              </w:rPr>
              <w:t>5 Rooms</w:t>
            </w:r>
          </w:p>
        </w:tc>
        <w:tc>
          <w:tcPr>
            <w:tcW w:w="1647" w:type="pct"/>
            <w:shd w:val="clear" w:color="auto" w:fill="auto"/>
            <w:noWrap/>
          </w:tcPr>
          <w:p w:rsidR="002C2D5C" w:rsidRPr="00374C95" w:rsidRDefault="003C39C4" w:rsidP="00C378B2">
            <w:pPr>
              <w:spacing w:line="240" w:lineRule="auto"/>
              <w:jc w:val="both"/>
              <w:rPr>
                <w:rFonts w:cstheme="minorHAnsi"/>
                <w:sz w:val="18"/>
                <w:szCs w:val="18"/>
                <w:lang w:eastAsia="zh-CN"/>
              </w:rPr>
            </w:pPr>
            <w:r>
              <w:rPr>
                <w:rFonts w:cstheme="minorHAnsi"/>
                <w:sz w:val="18"/>
                <w:szCs w:val="18"/>
                <w:lang w:eastAsia="zh-CN"/>
              </w:rPr>
              <w:t>24.2%</w:t>
            </w:r>
          </w:p>
        </w:tc>
        <w:tc>
          <w:tcPr>
            <w:tcW w:w="1647" w:type="pct"/>
            <w:shd w:val="clear" w:color="auto" w:fill="auto"/>
            <w:noWrap/>
          </w:tcPr>
          <w:p w:rsidR="002C2D5C" w:rsidRPr="00374C95" w:rsidRDefault="003C39C4" w:rsidP="00C378B2">
            <w:pPr>
              <w:spacing w:line="240" w:lineRule="auto"/>
              <w:jc w:val="both"/>
              <w:rPr>
                <w:rFonts w:cstheme="minorHAnsi"/>
                <w:sz w:val="18"/>
                <w:szCs w:val="18"/>
                <w:lang w:eastAsia="zh-CN"/>
              </w:rPr>
            </w:pPr>
            <w:r>
              <w:rPr>
                <w:rFonts w:cstheme="minorHAnsi"/>
                <w:sz w:val="18"/>
                <w:szCs w:val="18"/>
                <w:lang w:eastAsia="zh-CN"/>
              </w:rPr>
              <w:t>25.0%</w:t>
            </w:r>
          </w:p>
        </w:tc>
      </w:tr>
      <w:tr w:rsidR="002C2D5C" w:rsidRPr="00374C95" w:rsidTr="00914EAA">
        <w:trPr>
          <w:trHeight w:val="288"/>
        </w:trPr>
        <w:tc>
          <w:tcPr>
            <w:tcW w:w="1706" w:type="pct"/>
            <w:shd w:val="clear" w:color="auto" w:fill="auto"/>
            <w:noWrap/>
            <w:vAlign w:val="center"/>
            <w:hideMark/>
          </w:tcPr>
          <w:p w:rsidR="002C2D5C" w:rsidRPr="00374C95" w:rsidRDefault="002C2D5C" w:rsidP="00C378B2">
            <w:pPr>
              <w:spacing w:line="240" w:lineRule="auto"/>
              <w:jc w:val="both"/>
              <w:rPr>
                <w:rFonts w:cstheme="minorHAnsi"/>
                <w:sz w:val="18"/>
                <w:szCs w:val="18"/>
                <w:lang w:eastAsia="zh-CN"/>
              </w:rPr>
            </w:pPr>
            <w:r w:rsidRPr="00374C95">
              <w:rPr>
                <w:rFonts w:cstheme="minorHAnsi"/>
                <w:sz w:val="18"/>
                <w:szCs w:val="18"/>
                <w:lang w:eastAsia="zh-CN"/>
              </w:rPr>
              <w:t>6 Rooms</w:t>
            </w:r>
          </w:p>
        </w:tc>
        <w:tc>
          <w:tcPr>
            <w:tcW w:w="1647" w:type="pct"/>
            <w:shd w:val="clear" w:color="auto" w:fill="auto"/>
            <w:noWrap/>
          </w:tcPr>
          <w:p w:rsidR="002C2D5C" w:rsidRPr="00374C95" w:rsidRDefault="003C39C4" w:rsidP="00C378B2">
            <w:pPr>
              <w:spacing w:line="240" w:lineRule="auto"/>
              <w:jc w:val="both"/>
              <w:rPr>
                <w:rFonts w:cstheme="minorHAnsi"/>
                <w:sz w:val="18"/>
                <w:szCs w:val="18"/>
                <w:lang w:eastAsia="zh-CN"/>
              </w:rPr>
            </w:pPr>
            <w:r>
              <w:rPr>
                <w:rFonts w:cstheme="minorHAnsi"/>
                <w:sz w:val="18"/>
                <w:szCs w:val="18"/>
                <w:lang w:eastAsia="zh-CN"/>
              </w:rPr>
              <w:t>20.8%</w:t>
            </w:r>
          </w:p>
        </w:tc>
        <w:tc>
          <w:tcPr>
            <w:tcW w:w="1647" w:type="pct"/>
            <w:shd w:val="clear" w:color="auto" w:fill="auto"/>
            <w:noWrap/>
          </w:tcPr>
          <w:p w:rsidR="002C2D5C" w:rsidRPr="00374C95" w:rsidRDefault="003C39C4" w:rsidP="00C378B2">
            <w:pPr>
              <w:spacing w:line="240" w:lineRule="auto"/>
              <w:jc w:val="both"/>
              <w:rPr>
                <w:rFonts w:cstheme="minorHAnsi"/>
                <w:sz w:val="18"/>
                <w:szCs w:val="18"/>
                <w:lang w:eastAsia="zh-CN"/>
              </w:rPr>
            </w:pPr>
            <w:r>
              <w:rPr>
                <w:rFonts w:cstheme="minorHAnsi"/>
                <w:sz w:val="18"/>
                <w:szCs w:val="18"/>
                <w:lang w:eastAsia="zh-CN"/>
              </w:rPr>
              <w:t>22.4%</w:t>
            </w:r>
          </w:p>
        </w:tc>
      </w:tr>
      <w:tr w:rsidR="002C2D5C" w:rsidRPr="00374C95" w:rsidTr="00914EAA">
        <w:trPr>
          <w:trHeight w:val="288"/>
        </w:trPr>
        <w:tc>
          <w:tcPr>
            <w:tcW w:w="1706" w:type="pct"/>
            <w:shd w:val="clear" w:color="auto" w:fill="auto"/>
            <w:noWrap/>
            <w:vAlign w:val="center"/>
            <w:hideMark/>
          </w:tcPr>
          <w:p w:rsidR="002C2D5C" w:rsidRPr="00374C95" w:rsidRDefault="002C2D5C" w:rsidP="00C378B2">
            <w:pPr>
              <w:spacing w:line="240" w:lineRule="auto"/>
              <w:jc w:val="both"/>
              <w:rPr>
                <w:rFonts w:cstheme="minorHAnsi"/>
                <w:sz w:val="18"/>
                <w:szCs w:val="18"/>
                <w:lang w:eastAsia="zh-CN"/>
              </w:rPr>
            </w:pPr>
            <w:r w:rsidRPr="00374C95">
              <w:rPr>
                <w:rFonts w:cstheme="minorHAnsi"/>
                <w:sz w:val="18"/>
                <w:szCs w:val="18"/>
                <w:lang w:eastAsia="zh-CN"/>
              </w:rPr>
              <w:t>7 Rooms</w:t>
            </w:r>
          </w:p>
        </w:tc>
        <w:tc>
          <w:tcPr>
            <w:tcW w:w="1647" w:type="pct"/>
            <w:shd w:val="clear" w:color="auto" w:fill="auto"/>
            <w:noWrap/>
          </w:tcPr>
          <w:p w:rsidR="002C2D5C" w:rsidRPr="00374C95" w:rsidRDefault="003C39C4" w:rsidP="00C378B2">
            <w:pPr>
              <w:spacing w:line="240" w:lineRule="auto"/>
              <w:jc w:val="both"/>
              <w:rPr>
                <w:rFonts w:cstheme="minorHAnsi"/>
                <w:sz w:val="18"/>
                <w:szCs w:val="18"/>
                <w:lang w:eastAsia="zh-CN"/>
              </w:rPr>
            </w:pPr>
            <w:r>
              <w:rPr>
                <w:rFonts w:cstheme="minorHAnsi"/>
                <w:sz w:val="18"/>
                <w:szCs w:val="18"/>
                <w:lang w:eastAsia="zh-CN"/>
              </w:rPr>
              <w:t>12.3%</w:t>
            </w:r>
          </w:p>
        </w:tc>
        <w:tc>
          <w:tcPr>
            <w:tcW w:w="1647" w:type="pct"/>
            <w:shd w:val="clear" w:color="auto" w:fill="auto"/>
            <w:noWrap/>
          </w:tcPr>
          <w:p w:rsidR="002C2D5C" w:rsidRPr="00374C95" w:rsidRDefault="003C39C4" w:rsidP="00C378B2">
            <w:pPr>
              <w:spacing w:line="240" w:lineRule="auto"/>
              <w:jc w:val="both"/>
              <w:rPr>
                <w:rFonts w:cstheme="minorHAnsi"/>
                <w:sz w:val="18"/>
                <w:szCs w:val="18"/>
                <w:lang w:eastAsia="zh-CN"/>
              </w:rPr>
            </w:pPr>
            <w:r>
              <w:rPr>
                <w:rFonts w:cstheme="minorHAnsi"/>
                <w:sz w:val="18"/>
                <w:szCs w:val="18"/>
                <w:lang w:eastAsia="zh-CN"/>
              </w:rPr>
              <w:t>13.6%</w:t>
            </w:r>
          </w:p>
        </w:tc>
      </w:tr>
      <w:tr w:rsidR="002C2D5C" w:rsidRPr="00374C95" w:rsidTr="00914EAA">
        <w:trPr>
          <w:trHeight w:val="288"/>
        </w:trPr>
        <w:tc>
          <w:tcPr>
            <w:tcW w:w="1706" w:type="pct"/>
            <w:shd w:val="clear" w:color="auto" w:fill="auto"/>
            <w:noWrap/>
            <w:vAlign w:val="center"/>
            <w:hideMark/>
          </w:tcPr>
          <w:p w:rsidR="002C2D5C" w:rsidRPr="00374C95" w:rsidRDefault="002C2D5C" w:rsidP="00C378B2">
            <w:pPr>
              <w:spacing w:line="240" w:lineRule="auto"/>
              <w:jc w:val="both"/>
              <w:rPr>
                <w:rFonts w:cstheme="minorHAnsi"/>
                <w:sz w:val="18"/>
                <w:szCs w:val="18"/>
                <w:lang w:eastAsia="zh-CN"/>
              </w:rPr>
            </w:pPr>
            <w:r w:rsidRPr="00374C95">
              <w:rPr>
                <w:rFonts w:cstheme="minorHAnsi"/>
                <w:sz w:val="18"/>
                <w:szCs w:val="18"/>
                <w:lang w:eastAsia="zh-CN"/>
              </w:rPr>
              <w:t>8 Rooms or more</w:t>
            </w:r>
          </w:p>
        </w:tc>
        <w:tc>
          <w:tcPr>
            <w:tcW w:w="1647" w:type="pct"/>
            <w:shd w:val="clear" w:color="auto" w:fill="auto"/>
            <w:noWrap/>
          </w:tcPr>
          <w:p w:rsidR="002C2D5C" w:rsidRPr="00374C95" w:rsidRDefault="003C39C4" w:rsidP="00C378B2">
            <w:pPr>
              <w:spacing w:line="240" w:lineRule="auto"/>
              <w:jc w:val="both"/>
              <w:rPr>
                <w:rFonts w:cstheme="minorHAnsi"/>
                <w:sz w:val="18"/>
                <w:szCs w:val="18"/>
                <w:lang w:eastAsia="zh-CN"/>
              </w:rPr>
            </w:pPr>
            <w:r>
              <w:rPr>
                <w:rFonts w:cstheme="minorHAnsi"/>
                <w:sz w:val="18"/>
                <w:szCs w:val="18"/>
                <w:lang w:eastAsia="zh-CN"/>
              </w:rPr>
              <w:t>9.7%</w:t>
            </w:r>
          </w:p>
        </w:tc>
        <w:tc>
          <w:tcPr>
            <w:tcW w:w="1647" w:type="pct"/>
            <w:shd w:val="clear" w:color="auto" w:fill="auto"/>
            <w:noWrap/>
          </w:tcPr>
          <w:p w:rsidR="002C2D5C" w:rsidRPr="00374C95" w:rsidRDefault="003C39C4" w:rsidP="00C378B2">
            <w:pPr>
              <w:spacing w:line="240" w:lineRule="auto"/>
              <w:jc w:val="both"/>
              <w:rPr>
                <w:rFonts w:cstheme="minorHAnsi"/>
                <w:sz w:val="18"/>
                <w:szCs w:val="18"/>
                <w:lang w:eastAsia="zh-CN"/>
              </w:rPr>
            </w:pPr>
            <w:r>
              <w:rPr>
                <w:rFonts w:cstheme="minorHAnsi"/>
                <w:sz w:val="18"/>
                <w:szCs w:val="18"/>
                <w:lang w:eastAsia="zh-CN"/>
              </w:rPr>
              <w:t>9.2%</w:t>
            </w:r>
          </w:p>
        </w:tc>
      </w:tr>
      <w:tr w:rsidR="002C2D5C" w:rsidRPr="00374C95" w:rsidTr="00914EAA">
        <w:trPr>
          <w:trHeight w:val="288"/>
        </w:trPr>
        <w:tc>
          <w:tcPr>
            <w:tcW w:w="1706" w:type="pct"/>
            <w:shd w:val="clear" w:color="auto" w:fill="auto"/>
            <w:noWrap/>
            <w:vAlign w:val="center"/>
            <w:hideMark/>
          </w:tcPr>
          <w:p w:rsidR="002C2D5C" w:rsidRPr="00374C95" w:rsidRDefault="002C2D5C" w:rsidP="00C378B2">
            <w:pPr>
              <w:spacing w:line="240" w:lineRule="auto"/>
              <w:jc w:val="both"/>
              <w:rPr>
                <w:rFonts w:cstheme="minorHAnsi"/>
                <w:sz w:val="18"/>
                <w:szCs w:val="18"/>
                <w:lang w:eastAsia="zh-CN"/>
              </w:rPr>
            </w:pPr>
            <w:r w:rsidRPr="00374C95">
              <w:rPr>
                <w:rFonts w:cstheme="minorHAnsi"/>
                <w:sz w:val="18"/>
                <w:szCs w:val="18"/>
                <w:lang w:eastAsia="zh-CN"/>
              </w:rPr>
              <w:t>9 Rooms or more</w:t>
            </w:r>
          </w:p>
        </w:tc>
        <w:tc>
          <w:tcPr>
            <w:tcW w:w="1647" w:type="pct"/>
            <w:shd w:val="clear" w:color="auto" w:fill="auto"/>
            <w:noWrap/>
          </w:tcPr>
          <w:p w:rsidR="002C2D5C" w:rsidRPr="00374C95" w:rsidRDefault="003C39C4" w:rsidP="00C378B2">
            <w:pPr>
              <w:spacing w:line="240" w:lineRule="auto"/>
              <w:jc w:val="both"/>
              <w:rPr>
                <w:rFonts w:cstheme="minorHAnsi"/>
                <w:sz w:val="18"/>
                <w:szCs w:val="18"/>
                <w:lang w:eastAsia="zh-CN"/>
              </w:rPr>
            </w:pPr>
            <w:r>
              <w:rPr>
                <w:rFonts w:cstheme="minorHAnsi"/>
                <w:sz w:val="18"/>
                <w:szCs w:val="18"/>
                <w:lang w:eastAsia="zh-CN"/>
              </w:rPr>
              <w:t>12.3%</w:t>
            </w:r>
          </w:p>
        </w:tc>
        <w:tc>
          <w:tcPr>
            <w:tcW w:w="1647" w:type="pct"/>
            <w:shd w:val="clear" w:color="auto" w:fill="auto"/>
            <w:noWrap/>
          </w:tcPr>
          <w:p w:rsidR="002C2D5C" w:rsidRPr="00374C95" w:rsidRDefault="003C39C4" w:rsidP="00C378B2">
            <w:pPr>
              <w:spacing w:line="240" w:lineRule="auto"/>
              <w:jc w:val="both"/>
              <w:rPr>
                <w:rFonts w:cstheme="minorHAnsi"/>
                <w:sz w:val="18"/>
                <w:szCs w:val="18"/>
                <w:lang w:eastAsia="zh-CN"/>
              </w:rPr>
            </w:pPr>
            <w:r>
              <w:rPr>
                <w:rFonts w:cstheme="minorHAnsi"/>
                <w:sz w:val="18"/>
                <w:szCs w:val="18"/>
                <w:lang w:eastAsia="zh-CN"/>
              </w:rPr>
              <w:t>10.0%</w:t>
            </w:r>
          </w:p>
        </w:tc>
      </w:tr>
    </w:tbl>
    <w:p w:rsidR="002C2D5C" w:rsidRPr="00374C95" w:rsidRDefault="002C2D5C" w:rsidP="002C2D5C">
      <w:pPr>
        <w:pStyle w:val="Source"/>
        <w:jc w:val="both"/>
        <w:rPr>
          <w:sz w:val="18"/>
          <w:szCs w:val="18"/>
          <w:lang w:val="en-GB"/>
        </w:rPr>
      </w:pPr>
      <w:r w:rsidRPr="00374C95">
        <w:rPr>
          <w:sz w:val="18"/>
          <w:szCs w:val="18"/>
          <w:lang w:val="en-GB"/>
        </w:rPr>
        <w:t>Source: ONS 2011, AECOM Calculations</w:t>
      </w:r>
    </w:p>
    <w:p w:rsidR="002C2D5C" w:rsidRPr="00072C9E" w:rsidRDefault="002C2D5C" w:rsidP="002C2D5C">
      <w:pPr>
        <w:pStyle w:val="ListNumber"/>
        <w:spacing w:before="0"/>
        <w:jc w:val="both"/>
        <w:rPr>
          <w:lang w:val="en-GB"/>
        </w:rPr>
      </w:pPr>
      <w:r w:rsidRPr="00764221">
        <w:rPr>
          <w:sz w:val="18"/>
          <w:szCs w:val="18"/>
          <w:lang w:val="en-GB"/>
        </w:rPr>
        <w:t>It is also relevant to consider how the number of rooms occupied by households chan</w:t>
      </w:r>
      <w:r w:rsidR="00764221">
        <w:rPr>
          <w:sz w:val="18"/>
          <w:szCs w:val="18"/>
          <w:lang w:val="en-GB"/>
        </w:rPr>
        <w:t>ged between the 2001 and 2011 C</w:t>
      </w:r>
      <w:r w:rsidRPr="00764221">
        <w:rPr>
          <w:sz w:val="18"/>
          <w:szCs w:val="18"/>
          <w:lang w:val="en-GB"/>
        </w:rPr>
        <w:t xml:space="preserve">ensuses. The main change from the 2001 </w:t>
      </w:r>
      <w:r w:rsidR="00764221">
        <w:rPr>
          <w:sz w:val="18"/>
          <w:szCs w:val="18"/>
          <w:lang w:val="en-GB"/>
        </w:rPr>
        <w:t>C</w:t>
      </w:r>
      <w:r w:rsidRPr="00764221">
        <w:rPr>
          <w:sz w:val="18"/>
          <w:szCs w:val="18"/>
          <w:lang w:val="en-GB"/>
        </w:rPr>
        <w:t xml:space="preserve">ensus findings is that </w:t>
      </w:r>
      <w:r w:rsidR="00F6163E">
        <w:rPr>
          <w:sz w:val="18"/>
          <w:szCs w:val="18"/>
          <w:lang w:val="en-GB"/>
        </w:rPr>
        <w:t>the plan area has undergone significant growth in the larger dwelling categories, particularly 4,</w:t>
      </w:r>
      <w:r w:rsidR="00A6732A">
        <w:rPr>
          <w:sz w:val="18"/>
          <w:szCs w:val="18"/>
          <w:lang w:val="en-GB"/>
        </w:rPr>
        <w:t xml:space="preserve"> </w:t>
      </w:r>
      <w:r w:rsidR="00F6163E">
        <w:rPr>
          <w:sz w:val="18"/>
          <w:szCs w:val="18"/>
          <w:lang w:val="en-GB"/>
        </w:rPr>
        <w:t>5, and 6 rooms</w:t>
      </w:r>
      <w:r w:rsidR="00A6732A">
        <w:rPr>
          <w:sz w:val="18"/>
          <w:szCs w:val="18"/>
          <w:lang w:val="en-GB"/>
        </w:rPr>
        <w:t xml:space="preserve"> per household</w:t>
      </w:r>
      <w:r w:rsidR="00F6163E">
        <w:rPr>
          <w:sz w:val="18"/>
          <w:szCs w:val="18"/>
          <w:lang w:val="en-GB"/>
        </w:rPr>
        <w:t xml:space="preserve"> compared to growth seen at district level. In addition, the number of 3 rooms </w:t>
      </w:r>
      <w:r w:rsidR="00A6732A">
        <w:rPr>
          <w:sz w:val="18"/>
          <w:szCs w:val="18"/>
          <w:lang w:val="en-GB"/>
        </w:rPr>
        <w:t xml:space="preserve">per </w:t>
      </w:r>
      <w:r w:rsidR="00F6163E">
        <w:rPr>
          <w:sz w:val="18"/>
          <w:szCs w:val="18"/>
          <w:lang w:val="en-GB"/>
        </w:rPr>
        <w:t xml:space="preserve">household in Reedham has increased dramatically, particularly when compared to Broadland where there is a difference of </w:t>
      </w:r>
      <w:r w:rsidR="00123E5C">
        <w:rPr>
          <w:sz w:val="18"/>
          <w:szCs w:val="18"/>
          <w:lang w:val="en-GB"/>
        </w:rPr>
        <w:t>72.5</w:t>
      </w:r>
      <w:r w:rsidR="00730887">
        <w:rPr>
          <w:sz w:val="18"/>
          <w:szCs w:val="18"/>
          <w:lang w:val="en-GB"/>
        </w:rPr>
        <w:t xml:space="preserve"> percentage points</w:t>
      </w:r>
      <w:r w:rsidR="00123E5C">
        <w:rPr>
          <w:sz w:val="18"/>
          <w:szCs w:val="18"/>
          <w:lang w:val="en-GB"/>
        </w:rPr>
        <w:t xml:space="preserve">. </w:t>
      </w:r>
      <w:r w:rsidR="00A6732A">
        <w:rPr>
          <w:sz w:val="18"/>
          <w:szCs w:val="18"/>
          <w:lang w:val="en-GB"/>
        </w:rPr>
        <w:t xml:space="preserve">The two categories which decreased were 1 and 2 rooms per household. Although a decline of 100% (1 room) and 66.7% (2 room) may seem weighty, the fact that these two categories started </w:t>
      </w:r>
      <w:r w:rsidR="006F1ECD">
        <w:rPr>
          <w:sz w:val="18"/>
          <w:szCs w:val="18"/>
          <w:lang w:val="en-GB"/>
        </w:rPr>
        <w:t>f</w:t>
      </w:r>
      <w:r w:rsidR="00A6732A">
        <w:rPr>
          <w:sz w:val="18"/>
          <w:szCs w:val="18"/>
          <w:lang w:val="en-GB"/>
        </w:rPr>
        <w:t xml:space="preserve">rom a low base point to begin with makes this finding less significant. </w:t>
      </w:r>
    </w:p>
    <w:p w:rsidR="002C2D5C" w:rsidRPr="002D4F56" w:rsidRDefault="002C2D5C" w:rsidP="002C2D5C">
      <w:pPr>
        <w:pStyle w:val="Caption"/>
        <w:jc w:val="both"/>
        <w:rPr>
          <w:sz w:val="18"/>
          <w:szCs w:val="18"/>
        </w:rPr>
      </w:pPr>
      <w:r w:rsidRPr="002D4F56">
        <w:rPr>
          <w:sz w:val="18"/>
          <w:szCs w:val="18"/>
        </w:rPr>
        <w:t xml:space="preserve">Table </w:t>
      </w:r>
      <w:r w:rsidR="001A69AC" w:rsidRPr="002D4F56">
        <w:rPr>
          <w:noProof/>
          <w:sz w:val="18"/>
          <w:szCs w:val="18"/>
        </w:rPr>
        <w:fldChar w:fldCharType="begin"/>
      </w:r>
      <w:r w:rsidRPr="002D4F56">
        <w:rPr>
          <w:noProof/>
          <w:sz w:val="18"/>
          <w:szCs w:val="18"/>
        </w:rPr>
        <w:instrText xml:space="preserve"> STYLEREF 1 \s </w:instrText>
      </w:r>
      <w:r w:rsidR="001A69AC" w:rsidRPr="002D4F56">
        <w:rPr>
          <w:noProof/>
          <w:sz w:val="18"/>
          <w:szCs w:val="18"/>
        </w:rPr>
        <w:fldChar w:fldCharType="separate"/>
      </w:r>
      <w:r w:rsidR="00E14AFB">
        <w:rPr>
          <w:noProof/>
          <w:sz w:val="18"/>
          <w:szCs w:val="18"/>
        </w:rPr>
        <w:t>6</w:t>
      </w:r>
      <w:r w:rsidR="001A69AC" w:rsidRPr="002D4F56">
        <w:rPr>
          <w:noProof/>
          <w:sz w:val="18"/>
          <w:szCs w:val="18"/>
        </w:rPr>
        <w:fldChar w:fldCharType="end"/>
      </w:r>
      <w:r w:rsidRPr="002D4F56">
        <w:rPr>
          <w:sz w:val="18"/>
          <w:szCs w:val="18"/>
        </w:rPr>
        <w:noBreakHyphen/>
      </w:r>
      <w:r w:rsidR="001A69AC" w:rsidRPr="002D4F56">
        <w:rPr>
          <w:noProof/>
          <w:sz w:val="18"/>
          <w:szCs w:val="18"/>
        </w:rPr>
        <w:fldChar w:fldCharType="begin"/>
      </w:r>
      <w:r w:rsidRPr="002D4F56">
        <w:rPr>
          <w:noProof/>
          <w:sz w:val="18"/>
          <w:szCs w:val="18"/>
        </w:rPr>
        <w:instrText xml:space="preserve"> SEQ Table \* ARABIC \s 1 </w:instrText>
      </w:r>
      <w:r w:rsidR="001A69AC" w:rsidRPr="002D4F56">
        <w:rPr>
          <w:noProof/>
          <w:sz w:val="18"/>
          <w:szCs w:val="18"/>
        </w:rPr>
        <w:fldChar w:fldCharType="separate"/>
      </w:r>
      <w:r w:rsidR="00E14AFB">
        <w:rPr>
          <w:noProof/>
          <w:sz w:val="18"/>
          <w:szCs w:val="18"/>
        </w:rPr>
        <w:t>4</w:t>
      </w:r>
      <w:r w:rsidR="001A69AC" w:rsidRPr="002D4F56">
        <w:rPr>
          <w:noProof/>
          <w:sz w:val="18"/>
          <w:szCs w:val="18"/>
        </w:rPr>
        <w:fldChar w:fldCharType="end"/>
      </w:r>
      <w:r w:rsidRPr="002D4F56">
        <w:rPr>
          <w:sz w:val="18"/>
          <w:szCs w:val="18"/>
        </w:rPr>
        <w:t xml:space="preserve">: Rates of change in number of rooms per household in </w:t>
      </w:r>
      <w:r w:rsidR="00D710B6">
        <w:rPr>
          <w:sz w:val="18"/>
          <w:szCs w:val="18"/>
        </w:rPr>
        <w:t>Reedham</w:t>
      </w:r>
      <w:r w:rsidRPr="002D4F56">
        <w:rPr>
          <w:sz w:val="18"/>
          <w:szCs w:val="18"/>
        </w:rPr>
        <w:t>, 2001-2011</w:t>
      </w:r>
    </w:p>
    <w:tbl>
      <w:tblPr>
        <w:tblW w:w="4791"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3"/>
        <w:gridCol w:w="2379"/>
        <w:gridCol w:w="2379"/>
        <w:gridCol w:w="2379"/>
      </w:tblGrid>
      <w:tr w:rsidR="002C2D5C" w:rsidRPr="00374C95" w:rsidTr="00D710B6">
        <w:trPr>
          <w:trHeight w:val="288"/>
        </w:trPr>
        <w:tc>
          <w:tcPr>
            <w:tcW w:w="1295" w:type="pct"/>
            <w:shd w:val="clear" w:color="auto" w:fill="000000" w:themeFill="text1"/>
            <w:noWrap/>
            <w:vAlign w:val="center"/>
            <w:hideMark/>
          </w:tcPr>
          <w:p w:rsidR="002C2D5C" w:rsidRPr="00374C95" w:rsidRDefault="002C2D5C" w:rsidP="00C378B2">
            <w:pPr>
              <w:spacing w:line="240" w:lineRule="auto"/>
              <w:jc w:val="both"/>
              <w:rPr>
                <w:rFonts w:cstheme="minorHAnsi"/>
                <w:b/>
                <w:bCs/>
                <w:color w:val="FFFFFF" w:themeColor="background1"/>
                <w:sz w:val="18"/>
                <w:szCs w:val="18"/>
                <w:lang w:eastAsia="zh-CN"/>
              </w:rPr>
            </w:pPr>
            <w:r w:rsidRPr="00374C95">
              <w:rPr>
                <w:rFonts w:cstheme="minorHAnsi"/>
                <w:b/>
                <w:bCs/>
                <w:color w:val="FFFFFF" w:themeColor="background1"/>
                <w:sz w:val="18"/>
                <w:szCs w:val="18"/>
                <w:lang w:eastAsia="zh-CN"/>
              </w:rPr>
              <w:t>Number of Rooms</w:t>
            </w:r>
          </w:p>
        </w:tc>
        <w:tc>
          <w:tcPr>
            <w:tcW w:w="1235" w:type="pct"/>
            <w:shd w:val="clear" w:color="auto" w:fill="000000" w:themeFill="text1"/>
            <w:noWrap/>
            <w:vAlign w:val="center"/>
          </w:tcPr>
          <w:p w:rsidR="002C2D5C" w:rsidRPr="00374C95" w:rsidRDefault="00D710B6" w:rsidP="00C378B2">
            <w:pPr>
              <w:spacing w:line="240" w:lineRule="auto"/>
              <w:jc w:val="both"/>
              <w:rPr>
                <w:rFonts w:cstheme="minorHAnsi"/>
                <w:b/>
                <w:bCs/>
                <w:color w:val="FFFFFF" w:themeColor="background1"/>
                <w:sz w:val="18"/>
                <w:szCs w:val="18"/>
                <w:lang w:eastAsia="zh-CN"/>
              </w:rPr>
            </w:pPr>
            <w:r>
              <w:rPr>
                <w:rFonts w:cstheme="minorHAnsi"/>
                <w:b/>
                <w:bCs/>
                <w:color w:val="FFFFFF" w:themeColor="background1"/>
                <w:sz w:val="18"/>
                <w:szCs w:val="18"/>
                <w:lang w:eastAsia="zh-CN"/>
              </w:rPr>
              <w:t>Reedham</w:t>
            </w:r>
          </w:p>
        </w:tc>
        <w:tc>
          <w:tcPr>
            <w:tcW w:w="1235" w:type="pct"/>
            <w:shd w:val="clear" w:color="auto" w:fill="000000" w:themeFill="text1"/>
            <w:noWrap/>
            <w:vAlign w:val="center"/>
          </w:tcPr>
          <w:p w:rsidR="002C2D5C" w:rsidRPr="00374C95" w:rsidRDefault="00D710B6" w:rsidP="00C378B2">
            <w:pPr>
              <w:spacing w:line="240" w:lineRule="auto"/>
              <w:jc w:val="both"/>
              <w:rPr>
                <w:rFonts w:cstheme="minorHAnsi"/>
                <w:b/>
                <w:bCs/>
                <w:color w:val="FFFFFF" w:themeColor="background1"/>
                <w:sz w:val="18"/>
                <w:szCs w:val="18"/>
                <w:lang w:eastAsia="zh-CN"/>
              </w:rPr>
            </w:pPr>
            <w:r>
              <w:rPr>
                <w:rFonts w:cstheme="minorHAnsi"/>
                <w:b/>
                <w:bCs/>
                <w:color w:val="FFFFFF" w:themeColor="background1"/>
                <w:sz w:val="18"/>
                <w:szCs w:val="18"/>
                <w:lang w:eastAsia="zh-CN"/>
              </w:rPr>
              <w:t>Broadland</w:t>
            </w:r>
          </w:p>
        </w:tc>
        <w:tc>
          <w:tcPr>
            <w:tcW w:w="1235" w:type="pct"/>
            <w:shd w:val="clear" w:color="auto" w:fill="000000" w:themeFill="text1"/>
            <w:noWrap/>
            <w:vAlign w:val="center"/>
          </w:tcPr>
          <w:p w:rsidR="002C2D5C" w:rsidRPr="00374C95" w:rsidRDefault="00D710B6" w:rsidP="00C378B2">
            <w:pPr>
              <w:spacing w:line="240" w:lineRule="auto"/>
              <w:jc w:val="both"/>
              <w:rPr>
                <w:rFonts w:cstheme="minorHAnsi"/>
                <w:b/>
                <w:bCs/>
                <w:color w:val="FFFFFF" w:themeColor="background1"/>
                <w:sz w:val="18"/>
                <w:szCs w:val="18"/>
                <w:lang w:eastAsia="zh-CN"/>
              </w:rPr>
            </w:pPr>
            <w:r>
              <w:rPr>
                <w:rFonts w:cstheme="minorHAnsi"/>
                <w:b/>
                <w:bCs/>
                <w:color w:val="FFFFFF" w:themeColor="background1"/>
                <w:sz w:val="18"/>
                <w:szCs w:val="18"/>
                <w:lang w:eastAsia="zh-CN"/>
              </w:rPr>
              <w:t>England</w:t>
            </w:r>
          </w:p>
        </w:tc>
      </w:tr>
      <w:tr w:rsidR="002C2D5C" w:rsidRPr="00374C95" w:rsidTr="00D710B6">
        <w:trPr>
          <w:trHeight w:val="288"/>
        </w:trPr>
        <w:tc>
          <w:tcPr>
            <w:tcW w:w="1295" w:type="pct"/>
            <w:shd w:val="clear" w:color="auto" w:fill="auto"/>
            <w:noWrap/>
            <w:vAlign w:val="center"/>
            <w:hideMark/>
          </w:tcPr>
          <w:p w:rsidR="002C2D5C" w:rsidRPr="00374C95" w:rsidRDefault="002C2D5C" w:rsidP="00C378B2">
            <w:pPr>
              <w:spacing w:line="240" w:lineRule="auto"/>
              <w:jc w:val="both"/>
              <w:rPr>
                <w:rFonts w:cstheme="minorHAnsi"/>
                <w:sz w:val="18"/>
                <w:szCs w:val="18"/>
                <w:lang w:eastAsia="zh-CN"/>
              </w:rPr>
            </w:pPr>
            <w:r w:rsidRPr="00374C95">
              <w:rPr>
                <w:rFonts w:cstheme="minorHAnsi"/>
                <w:sz w:val="18"/>
                <w:szCs w:val="18"/>
                <w:lang w:eastAsia="zh-CN"/>
              </w:rPr>
              <w:t>1 Room</w:t>
            </w:r>
          </w:p>
        </w:tc>
        <w:tc>
          <w:tcPr>
            <w:tcW w:w="1235" w:type="pct"/>
            <w:shd w:val="clear" w:color="auto" w:fill="auto"/>
            <w:noWrap/>
          </w:tcPr>
          <w:p w:rsidR="002C2D5C" w:rsidRPr="00374C95" w:rsidRDefault="00D710B6" w:rsidP="00C378B2">
            <w:pPr>
              <w:spacing w:line="240" w:lineRule="auto"/>
              <w:jc w:val="both"/>
              <w:rPr>
                <w:rFonts w:cstheme="minorHAnsi"/>
                <w:sz w:val="18"/>
                <w:szCs w:val="18"/>
                <w:lang w:eastAsia="zh-CN"/>
              </w:rPr>
            </w:pPr>
            <w:r>
              <w:rPr>
                <w:rFonts w:cstheme="minorHAnsi"/>
                <w:sz w:val="18"/>
                <w:szCs w:val="18"/>
                <w:lang w:eastAsia="zh-CN"/>
              </w:rPr>
              <w:t>-100.00%</w:t>
            </w:r>
          </w:p>
        </w:tc>
        <w:tc>
          <w:tcPr>
            <w:tcW w:w="1235" w:type="pct"/>
            <w:shd w:val="clear" w:color="auto" w:fill="auto"/>
            <w:noWrap/>
          </w:tcPr>
          <w:p w:rsidR="002C2D5C" w:rsidRPr="00374C95" w:rsidRDefault="00D710B6" w:rsidP="00C378B2">
            <w:pPr>
              <w:spacing w:line="240" w:lineRule="auto"/>
              <w:jc w:val="both"/>
              <w:rPr>
                <w:rFonts w:cstheme="minorHAnsi"/>
                <w:sz w:val="18"/>
                <w:szCs w:val="18"/>
                <w:lang w:eastAsia="zh-CN"/>
              </w:rPr>
            </w:pPr>
            <w:r>
              <w:rPr>
                <w:rFonts w:cstheme="minorHAnsi"/>
                <w:sz w:val="18"/>
                <w:szCs w:val="18"/>
                <w:lang w:eastAsia="zh-CN"/>
              </w:rPr>
              <w:t>38.2%</w:t>
            </w:r>
          </w:p>
        </w:tc>
        <w:tc>
          <w:tcPr>
            <w:tcW w:w="1235" w:type="pct"/>
            <w:shd w:val="clear" w:color="auto" w:fill="auto"/>
            <w:noWrap/>
          </w:tcPr>
          <w:p w:rsidR="002C2D5C" w:rsidRPr="00374C95" w:rsidRDefault="00D710B6" w:rsidP="00C378B2">
            <w:pPr>
              <w:spacing w:line="240" w:lineRule="auto"/>
              <w:jc w:val="both"/>
              <w:rPr>
                <w:rFonts w:cstheme="minorHAnsi"/>
                <w:sz w:val="18"/>
                <w:szCs w:val="18"/>
                <w:lang w:eastAsia="zh-CN"/>
              </w:rPr>
            </w:pPr>
            <w:r>
              <w:rPr>
                <w:rFonts w:cstheme="minorHAnsi"/>
                <w:sz w:val="18"/>
                <w:szCs w:val="18"/>
                <w:lang w:eastAsia="zh-CN"/>
              </w:rPr>
              <w:t>-5.2%</w:t>
            </w:r>
          </w:p>
        </w:tc>
      </w:tr>
      <w:tr w:rsidR="002C2D5C" w:rsidRPr="00374C95" w:rsidTr="00D710B6">
        <w:trPr>
          <w:trHeight w:val="288"/>
        </w:trPr>
        <w:tc>
          <w:tcPr>
            <w:tcW w:w="1295" w:type="pct"/>
            <w:shd w:val="clear" w:color="auto" w:fill="auto"/>
            <w:noWrap/>
            <w:vAlign w:val="center"/>
            <w:hideMark/>
          </w:tcPr>
          <w:p w:rsidR="002C2D5C" w:rsidRPr="00374C95" w:rsidRDefault="002C2D5C" w:rsidP="00C378B2">
            <w:pPr>
              <w:spacing w:line="240" w:lineRule="auto"/>
              <w:jc w:val="both"/>
              <w:rPr>
                <w:rFonts w:cstheme="minorHAnsi"/>
                <w:sz w:val="18"/>
                <w:szCs w:val="18"/>
                <w:lang w:eastAsia="zh-CN"/>
              </w:rPr>
            </w:pPr>
            <w:r w:rsidRPr="00374C95">
              <w:rPr>
                <w:rFonts w:cstheme="minorHAnsi"/>
                <w:sz w:val="18"/>
                <w:szCs w:val="18"/>
                <w:lang w:eastAsia="zh-CN"/>
              </w:rPr>
              <w:t>2 Rooms</w:t>
            </w:r>
          </w:p>
        </w:tc>
        <w:tc>
          <w:tcPr>
            <w:tcW w:w="1235" w:type="pct"/>
            <w:shd w:val="clear" w:color="auto" w:fill="auto"/>
            <w:noWrap/>
          </w:tcPr>
          <w:p w:rsidR="002C2D5C" w:rsidRPr="00374C95" w:rsidRDefault="00D710B6" w:rsidP="00C378B2">
            <w:pPr>
              <w:spacing w:line="240" w:lineRule="auto"/>
              <w:jc w:val="both"/>
              <w:rPr>
                <w:rFonts w:cstheme="minorHAnsi"/>
                <w:sz w:val="18"/>
                <w:szCs w:val="18"/>
                <w:lang w:eastAsia="zh-CN"/>
              </w:rPr>
            </w:pPr>
            <w:r>
              <w:rPr>
                <w:rFonts w:cstheme="minorHAnsi"/>
                <w:sz w:val="18"/>
                <w:szCs w:val="18"/>
                <w:lang w:eastAsia="zh-CN"/>
              </w:rPr>
              <w:t>-66.7%</w:t>
            </w:r>
          </w:p>
        </w:tc>
        <w:tc>
          <w:tcPr>
            <w:tcW w:w="1235" w:type="pct"/>
            <w:shd w:val="clear" w:color="auto" w:fill="auto"/>
            <w:noWrap/>
          </w:tcPr>
          <w:p w:rsidR="002C2D5C" w:rsidRPr="00374C95" w:rsidRDefault="00D710B6" w:rsidP="00C378B2">
            <w:pPr>
              <w:spacing w:line="240" w:lineRule="auto"/>
              <w:jc w:val="both"/>
              <w:rPr>
                <w:rFonts w:cstheme="minorHAnsi"/>
                <w:sz w:val="18"/>
                <w:szCs w:val="18"/>
                <w:lang w:eastAsia="zh-CN"/>
              </w:rPr>
            </w:pPr>
            <w:r>
              <w:rPr>
                <w:rFonts w:cstheme="minorHAnsi"/>
                <w:sz w:val="18"/>
                <w:szCs w:val="18"/>
                <w:lang w:eastAsia="zh-CN"/>
              </w:rPr>
              <w:t>6.0%</w:t>
            </w:r>
          </w:p>
        </w:tc>
        <w:tc>
          <w:tcPr>
            <w:tcW w:w="1235" w:type="pct"/>
            <w:shd w:val="clear" w:color="auto" w:fill="auto"/>
            <w:noWrap/>
          </w:tcPr>
          <w:p w:rsidR="002C2D5C" w:rsidRPr="00374C95" w:rsidRDefault="00D710B6" w:rsidP="00C378B2">
            <w:pPr>
              <w:spacing w:line="240" w:lineRule="auto"/>
              <w:jc w:val="both"/>
              <w:rPr>
                <w:rFonts w:cstheme="minorHAnsi"/>
                <w:sz w:val="18"/>
                <w:szCs w:val="18"/>
                <w:lang w:eastAsia="zh-CN"/>
              </w:rPr>
            </w:pPr>
            <w:r>
              <w:rPr>
                <w:rFonts w:cstheme="minorHAnsi"/>
                <w:sz w:val="18"/>
                <w:szCs w:val="18"/>
                <w:lang w:eastAsia="zh-CN"/>
              </w:rPr>
              <w:t>24.2%</w:t>
            </w:r>
          </w:p>
        </w:tc>
      </w:tr>
      <w:tr w:rsidR="002C2D5C" w:rsidRPr="00374C95" w:rsidTr="00D710B6">
        <w:trPr>
          <w:trHeight w:val="288"/>
        </w:trPr>
        <w:tc>
          <w:tcPr>
            <w:tcW w:w="1295" w:type="pct"/>
            <w:shd w:val="clear" w:color="auto" w:fill="auto"/>
            <w:noWrap/>
            <w:vAlign w:val="center"/>
            <w:hideMark/>
          </w:tcPr>
          <w:p w:rsidR="002C2D5C" w:rsidRPr="00374C95" w:rsidRDefault="002C2D5C" w:rsidP="00C378B2">
            <w:pPr>
              <w:spacing w:line="240" w:lineRule="auto"/>
              <w:jc w:val="both"/>
              <w:rPr>
                <w:rFonts w:cstheme="minorHAnsi"/>
                <w:sz w:val="18"/>
                <w:szCs w:val="18"/>
                <w:lang w:eastAsia="zh-CN"/>
              </w:rPr>
            </w:pPr>
            <w:r w:rsidRPr="00374C95">
              <w:rPr>
                <w:rFonts w:cstheme="minorHAnsi"/>
                <w:sz w:val="18"/>
                <w:szCs w:val="18"/>
                <w:lang w:eastAsia="zh-CN"/>
              </w:rPr>
              <w:t>3 Rooms</w:t>
            </w:r>
          </w:p>
        </w:tc>
        <w:tc>
          <w:tcPr>
            <w:tcW w:w="1235" w:type="pct"/>
            <w:shd w:val="clear" w:color="auto" w:fill="auto"/>
            <w:noWrap/>
          </w:tcPr>
          <w:p w:rsidR="002C2D5C" w:rsidRPr="00374C95" w:rsidRDefault="00D710B6" w:rsidP="00C378B2">
            <w:pPr>
              <w:spacing w:line="240" w:lineRule="auto"/>
              <w:jc w:val="both"/>
              <w:rPr>
                <w:rFonts w:cstheme="minorHAnsi"/>
                <w:sz w:val="18"/>
                <w:szCs w:val="18"/>
                <w:lang w:eastAsia="zh-CN"/>
              </w:rPr>
            </w:pPr>
            <w:r>
              <w:rPr>
                <w:rFonts w:cstheme="minorHAnsi"/>
                <w:sz w:val="18"/>
                <w:szCs w:val="18"/>
                <w:lang w:eastAsia="zh-CN"/>
              </w:rPr>
              <w:t>76.9%</w:t>
            </w:r>
          </w:p>
        </w:tc>
        <w:tc>
          <w:tcPr>
            <w:tcW w:w="1235" w:type="pct"/>
            <w:shd w:val="clear" w:color="auto" w:fill="auto"/>
            <w:noWrap/>
          </w:tcPr>
          <w:p w:rsidR="002C2D5C" w:rsidRPr="00374C95" w:rsidRDefault="00D710B6" w:rsidP="00C378B2">
            <w:pPr>
              <w:spacing w:line="240" w:lineRule="auto"/>
              <w:jc w:val="both"/>
              <w:rPr>
                <w:rFonts w:cstheme="minorHAnsi"/>
                <w:sz w:val="18"/>
                <w:szCs w:val="18"/>
                <w:lang w:eastAsia="zh-CN"/>
              </w:rPr>
            </w:pPr>
            <w:r>
              <w:rPr>
                <w:rFonts w:cstheme="minorHAnsi"/>
                <w:sz w:val="18"/>
                <w:szCs w:val="18"/>
                <w:lang w:eastAsia="zh-CN"/>
              </w:rPr>
              <w:t>4.4%</w:t>
            </w:r>
          </w:p>
        </w:tc>
        <w:tc>
          <w:tcPr>
            <w:tcW w:w="1235" w:type="pct"/>
            <w:shd w:val="clear" w:color="auto" w:fill="auto"/>
            <w:noWrap/>
          </w:tcPr>
          <w:p w:rsidR="002C2D5C" w:rsidRPr="00374C95" w:rsidRDefault="00D710B6" w:rsidP="00C378B2">
            <w:pPr>
              <w:spacing w:line="240" w:lineRule="auto"/>
              <w:jc w:val="both"/>
              <w:rPr>
                <w:rFonts w:cstheme="minorHAnsi"/>
                <w:sz w:val="18"/>
                <w:szCs w:val="18"/>
                <w:lang w:eastAsia="zh-CN"/>
              </w:rPr>
            </w:pPr>
            <w:r>
              <w:rPr>
                <w:rFonts w:cstheme="minorHAnsi"/>
                <w:sz w:val="18"/>
                <w:szCs w:val="18"/>
                <w:lang w:eastAsia="zh-CN"/>
              </w:rPr>
              <w:t>20.4%</w:t>
            </w:r>
          </w:p>
        </w:tc>
      </w:tr>
      <w:tr w:rsidR="002C2D5C" w:rsidRPr="00374C95" w:rsidTr="00D710B6">
        <w:trPr>
          <w:trHeight w:val="288"/>
        </w:trPr>
        <w:tc>
          <w:tcPr>
            <w:tcW w:w="1295" w:type="pct"/>
            <w:shd w:val="clear" w:color="auto" w:fill="auto"/>
            <w:noWrap/>
            <w:vAlign w:val="center"/>
            <w:hideMark/>
          </w:tcPr>
          <w:p w:rsidR="002C2D5C" w:rsidRPr="00374C95" w:rsidRDefault="002C2D5C" w:rsidP="00C378B2">
            <w:pPr>
              <w:spacing w:line="240" w:lineRule="auto"/>
              <w:jc w:val="both"/>
              <w:rPr>
                <w:rFonts w:cstheme="minorHAnsi"/>
                <w:sz w:val="18"/>
                <w:szCs w:val="18"/>
                <w:lang w:eastAsia="zh-CN"/>
              </w:rPr>
            </w:pPr>
            <w:r w:rsidRPr="00374C95">
              <w:rPr>
                <w:rFonts w:cstheme="minorHAnsi"/>
                <w:sz w:val="18"/>
                <w:szCs w:val="18"/>
                <w:lang w:eastAsia="zh-CN"/>
              </w:rPr>
              <w:t>4 Rooms</w:t>
            </w:r>
          </w:p>
        </w:tc>
        <w:tc>
          <w:tcPr>
            <w:tcW w:w="1235" w:type="pct"/>
            <w:shd w:val="clear" w:color="auto" w:fill="auto"/>
            <w:noWrap/>
          </w:tcPr>
          <w:p w:rsidR="002C2D5C" w:rsidRPr="00374C95" w:rsidRDefault="00D710B6" w:rsidP="00C378B2">
            <w:pPr>
              <w:spacing w:line="240" w:lineRule="auto"/>
              <w:jc w:val="both"/>
              <w:rPr>
                <w:rFonts w:cstheme="minorHAnsi"/>
                <w:sz w:val="18"/>
                <w:szCs w:val="18"/>
                <w:lang w:eastAsia="zh-CN"/>
              </w:rPr>
            </w:pPr>
            <w:r>
              <w:rPr>
                <w:rFonts w:cstheme="minorHAnsi"/>
                <w:sz w:val="18"/>
                <w:szCs w:val="18"/>
                <w:lang w:eastAsia="zh-CN"/>
              </w:rPr>
              <w:t>15.9%</w:t>
            </w:r>
          </w:p>
        </w:tc>
        <w:tc>
          <w:tcPr>
            <w:tcW w:w="1235" w:type="pct"/>
            <w:shd w:val="clear" w:color="auto" w:fill="auto"/>
            <w:noWrap/>
          </w:tcPr>
          <w:p w:rsidR="002C2D5C" w:rsidRPr="00374C95" w:rsidRDefault="00D710B6" w:rsidP="00C378B2">
            <w:pPr>
              <w:spacing w:line="240" w:lineRule="auto"/>
              <w:jc w:val="both"/>
              <w:rPr>
                <w:rFonts w:cstheme="minorHAnsi"/>
                <w:sz w:val="18"/>
                <w:szCs w:val="18"/>
                <w:lang w:eastAsia="zh-CN"/>
              </w:rPr>
            </w:pPr>
            <w:r>
              <w:rPr>
                <w:rFonts w:cstheme="minorHAnsi"/>
                <w:sz w:val="18"/>
                <w:szCs w:val="18"/>
                <w:lang w:eastAsia="zh-CN"/>
              </w:rPr>
              <w:t>-13.7%</w:t>
            </w:r>
          </w:p>
        </w:tc>
        <w:tc>
          <w:tcPr>
            <w:tcW w:w="1235" w:type="pct"/>
            <w:shd w:val="clear" w:color="auto" w:fill="auto"/>
            <w:noWrap/>
          </w:tcPr>
          <w:p w:rsidR="002C2D5C" w:rsidRPr="00374C95" w:rsidRDefault="00D710B6" w:rsidP="00C378B2">
            <w:pPr>
              <w:spacing w:line="240" w:lineRule="auto"/>
              <w:jc w:val="both"/>
              <w:rPr>
                <w:rFonts w:cstheme="minorHAnsi"/>
                <w:sz w:val="18"/>
                <w:szCs w:val="18"/>
                <w:lang w:eastAsia="zh-CN"/>
              </w:rPr>
            </w:pPr>
            <w:r>
              <w:rPr>
                <w:rFonts w:cstheme="minorHAnsi"/>
                <w:sz w:val="18"/>
                <w:szCs w:val="18"/>
                <w:lang w:eastAsia="zh-CN"/>
              </w:rPr>
              <w:t>3.5%</w:t>
            </w:r>
          </w:p>
        </w:tc>
      </w:tr>
      <w:tr w:rsidR="002C2D5C" w:rsidRPr="00374C95" w:rsidTr="00D710B6">
        <w:trPr>
          <w:trHeight w:val="288"/>
        </w:trPr>
        <w:tc>
          <w:tcPr>
            <w:tcW w:w="1295" w:type="pct"/>
            <w:shd w:val="clear" w:color="auto" w:fill="auto"/>
            <w:noWrap/>
            <w:vAlign w:val="center"/>
            <w:hideMark/>
          </w:tcPr>
          <w:p w:rsidR="002C2D5C" w:rsidRPr="00374C95" w:rsidRDefault="002C2D5C" w:rsidP="00C378B2">
            <w:pPr>
              <w:spacing w:line="240" w:lineRule="auto"/>
              <w:jc w:val="both"/>
              <w:rPr>
                <w:rFonts w:cstheme="minorHAnsi"/>
                <w:sz w:val="18"/>
                <w:szCs w:val="18"/>
                <w:lang w:eastAsia="zh-CN"/>
              </w:rPr>
            </w:pPr>
            <w:r w:rsidRPr="00374C95">
              <w:rPr>
                <w:rFonts w:cstheme="minorHAnsi"/>
                <w:sz w:val="18"/>
                <w:szCs w:val="18"/>
                <w:lang w:eastAsia="zh-CN"/>
              </w:rPr>
              <w:t>5 Rooms</w:t>
            </w:r>
          </w:p>
        </w:tc>
        <w:tc>
          <w:tcPr>
            <w:tcW w:w="1235" w:type="pct"/>
            <w:shd w:val="clear" w:color="auto" w:fill="auto"/>
            <w:noWrap/>
          </w:tcPr>
          <w:p w:rsidR="002C2D5C" w:rsidRPr="00374C95" w:rsidRDefault="00D710B6" w:rsidP="00C378B2">
            <w:pPr>
              <w:spacing w:line="240" w:lineRule="auto"/>
              <w:jc w:val="both"/>
              <w:rPr>
                <w:rFonts w:cstheme="minorHAnsi"/>
                <w:sz w:val="18"/>
                <w:szCs w:val="18"/>
                <w:lang w:eastAsia="zh-CN"/>
              </w:rPr>
            </w:pPr>
            <w:r>
              <w:rPr>
                <w:rFonts w:cstheme="minorHAnsi"/>
                <w:sz w:val="18"/>
                <w:szCs w:val="18"/>
                <w:lang w:eastAsia="zh-CN"/>
              </w:rPr>
              <w:t>22.0%</w:t>
            </w:r>
          </w:p>
        </w:tc>
        <w:tc>
          <w:tcPr>
            <w:tcW w:w="1235" w:type="pct"/>
            <w:shd w:val="clear" w:color="auto" w:fill="auto"/>
            <w:noWrap/>
          </w:tcPr>
          <w:p w:rsidR="002C2D5C" w:rsidRPr="00374C95" w:rsidRDefault="00D710B6" w:rsidP="00C378B2">
            <w:pPr>
              <w:spacing w:line="240" w:lineRule="auto"/>
              <w:jc w:val="both"/>
              <w:rPr>
                <w:rFonts w:cstheme="minorHAnsi"/>
                <w:sz w:val="18"/>
                <w:szCs w:val="18"/>
                <w:lang w:eastAsia="zh-CN"/>
              </w:rPr>
            </w:pPr>
            <w:r>
              <w:rPr>
                <w:rFonts w:cstheme="minorHAnsi"/>
                <w:sz w:val="18"/>
                <w:szCs w:val="18"/>
                <w:lang w:eastAsia="zh-CN"/>
              </w:rPr>
              <w:t>-8.1%</w:t>
            </w:r>
          </w:p>
        </w:tc>
        <w:tc>
          <w:tcPr>
            <w:tcW w:w="1235" w:type="pct"/>
            <w:shd w:val="clear" w:color="auto" w:fill="auto"/>
            <w:noWrap/>
          </w:tcPr>
          <w:p w:rsidR="002C2D5C" w:rsidRPr="00374C95" w:rsidRDefault="00D710B6" w:rsidP="00C378B2">
            <w:pPr>
              <w:spacing w:line="240" w:lineRule="auto"/>
              <w:jc w:val="both"/>
              <w:rPr>
                <w:rFonts w:cstheme="minorHAnsi"/>
                <w:sz w:val="18"/>
                <w:szCs w:val="18"/>
                <w:lang w:eastAsia="zh-CN"/>
              </w:rPr>
            </w:pPr>
            <w:r>
              <w:rPr>
                <w:rFonts w:cstheme="minorHAnsi"/>
                <w:sz w:val="18"/>
                <w:szCs w:val="18"/>
                <w:lang w:eastAsia="zh-CN"/>
              </w:rPr>
              <w:t>-1.8%</w:t>
            </w:r>
          </w:p>
        </w:tc>
      </w:tr>
      <w:tr w:rsidR="002C2D5C" w:rsidRPr="00374C95" w:rsidTr="00D710B6">
        <w:trPr>
          <w:trHeight w:val="288"/>
        </w:trPr>
        <w:tc>
          <w:tcPr>
            <w:tcW w:w="1295" w:type="pct"/>
            <w:shd w:val="clear" w:color="auto" w:fill="auto"/>
            <w:noWrap/>
            <w:vAlign w:val="center"/>
            <w:hideMark/>
          </w:tcPr>
          <w:p w:rsidR="002C2D5C" w:rsidRPr="00374C95" w:rsidRDefault="002C2D5C" w:rsidP="00C378B2">
            <w:pPr>
              <w:spacing w:line="240" w:lineRule="auto"/>
              <w:jc w:val="both"/>
              <w:rPr>
                <w:rFonts w:cstheme="minorHAnsi"/>
                <w:sz w:val="18"/>
                <w:szCs w:val="18"/>
                <w:lang w:eastAsia="zh-CN"/>
              </w:rPr>
            </w:pPr>
            <w:r w:rsidRPr="00374C95">
              <w:rPr>
                <w:rFonts w:cstheme="minorHAnsi"/>
                <w:sz w:val="18"/>
                <w:szCs w:val="18"/>
                <w:lang w:eastAsia="zh-CN"/>
              </w:rPr>
              <w:t>6 Rooms</w:t>
            </w:r>
          </w:p>
        </w:tc>
        <w:tc>
          <w:tcPr>
            <w:tcW w:w="1235" w:type="pct"/>
            <w:shd w:val="clear" w:color="auto" w:fill="auto"/>
            <w:noWrap/>
          </w:tcPr>
          <w:p w:rsidR="002C2D5C" w:rsidRPr="00374C95" w:rsidRDefault="00D710B6" w:rsidP="00C378B2">
            <w:pPr>
              <w:spacing w:line="240" w:lineRule="auto"/>
              <w:jc w:val="both"/>
              <w:rPr>
                <w:rFonts w:cstheme="minorHAnsi"/>
                <w:sz w:val="18"/>
                <w:szCs w:val="18"/>
                <w:lang w:eastAsia="zh-CN"/>
              </w:rPr>
            </w:pPr>
            <w:r>
              <w:rPr>
                <w:rFonts w:cstheme="minorHAnsi"/>
                <w:sz w:val="18"/>
                <w:szCs w:val="18"/>
                <w:lang w:eastAsia="zh-CN"/>
              </w:rPr>
              <w:t>25.0%</w:t>
            </w:r>
          </w:p>
        </w:tc>
        <w:tc>
          <w:tcPr>
            <w:tcW w:w="1235" w:type="pct"/>
            <w:shd w:val="clear" w:color="auto" w:fill="auto"/>
            <w:noWrap/>
          </w:tcPr>
          <w:p w:rsidR="002C2D5C" w:rsidRPr="00374C95" w:rsidRDefault="00D710B6" w:rsidP="00C378B2">
            <w:pPr>
              <w:spacing w:line="240" w:lineRule="auto"/>
              <w:jc w:val="both"/>
              <w:rPr>
                <w:rFonts w:cstheme="minorHAnsi"/>
                <w:sz w:val="18"/>
                <w:szCs w:val="18"/>
                <w:lang w:eastAsia="zh-CN"/>
              </w:rPr>
            </w:pPr>
            <w:r>
              <w:rPr>
                <w:rFonts w:cstheme="minorHAnsi"/>
                <w:sz w:val="18"/>
                <w:szCs w:val="18"/>
                <w:lang w:eastAsia="zh-CN"/>
              </w:rPr>
              <w:t>13.0%</w:t>
            </w:r>
          </w:p>
        </w:tc>
        <w:tc>
          <w:tcPr>
            <w:tcW w:w="1235" w:type="pct"/>
            <w:shd w:val="clear" w:color="auto" w:fill="auto"/>
            <w:noWrap/>
          </w:tcPr>
          <w:p w:rsidR="002C2D5C" w:rsidRPr="00374C95" w:rsidRDefault="00D710B6" w:rsidP="00C378B2">
            <w:pPr>
              <w:spacing w:line="240" w:lineRule="auto"/>
              <w:jc w:val="both"/>
              <w:rPr>
                <w:rFonts w:cstheme="minorHAnsi"/>
                <w:sz w:val="18"/>
                <w:szCs w:val="18"/>
                <w:lang w:eastAsia="zh-CN"/>
              </w:rPr>
            </w:pPr>
            <w:r>
              <w:rPr>
                <w:rFonts w:cstheme="minorHAnsi"/>
                <w:sz w:val="18"/>
                <w:szCs w:val="18"/>
                <w:lang w:eastAsia="zh-CN"/>
              </w:rPr>
              <w:t>2.1%</w:t>
            </w:r>
          </w:p>
        </w:tc>
      </w:tr>
      <w:tr w:rsidR="002C2D5C" w:rsidRPr="00374C95" w:rsidTr="00D710B6">
        <w:trPr>
          <w:trHeight w:val="288"/>
        </w:trPr>
        <w:tc>
          <w:tcPr>
            <w:tcW w:w="1295" w:type="pct"/>
            <w:shd w:val="clear" w:color="auto" w:fill="auto"/>
            <w:noWrap/>
            <w:vAlign w:val="center"/>
            <w:hideMark/>
          </w:tcPr>
          <w:p w:rsidR="002C2D5C" w:rsidRPr="00374C95" w:rsidRDefault="002C2D5C" w:rsidP="00C378B2">
            <w:pPr>
              <w:spacing w:line="240" w:lineRule="auto"/>
              <w:jc w:val="both"/>
              <w:rPr>
                <w:rFonts w:cstheme="minorHAnsi"/>
                <w:sz w:val="18"/>
                <w:szCs w:val="18"/>
                <w:lang w:eastAsia="zh-CN"/>
              </w:rPr>
            </w:pPr>
            <w:r w:rsidRPr="00374C95">
              <w:rPr>
                <w:rFonts w:cstheme="minorHAnsi"/>
                <w:sz w:val="18"/>
                <w:szCs w:val="18"/>
                <w:lang w:eastAsia="zh-CN"/>
              </w:rPr>
              <w:t>7 Rooms</w:t>
            </w:r>
          </w:p>
        </w:tc>
        <w:tc>
          <w:tcPr>
            <w:tcW w:w="1235" w:type="pct"/>
            <w:shd w:val="clear" w:color="auto" w:fill="auto"/>
            <w:noWrap/>
          </w:tcPr>
          <w:p w:rsidR="002C2D5C" w:rsidRPr="00374C95" w:rsidRDefault="00D710B6" w:rsidP="00C378B2">
            <w:pPr>
              <w:spacing w:line="240" w:lineRule="auto"/>
              <w:jc w:val="both"/>
              <w:rPr>
                <w:rFonts w:cstheme="minorHAnsi"/>
                <w:sz w:val="18"/>
                <w:szCs w:val="18"/>
                <w:lang w:eastAsia="zh-CN"/>
              </w:rPr>
            </w:pPr>
            <w:r>
              <w:rPr>
                <w:rFonts w:cstheme="minorHAnsi"/>
                <w:sz w:val="18"/>
                <w:szCs w:val="18"/>
                <w:lang w:eastAsia="zh-CN"/>
              </w:rPr>
              <w:t>5.1%</w:t>
            </w:r>
          </w:p>
        </w:tc>
        <w:tc>
          <w:tcPr>
            <w:tcW w:w="1235" w:type="pct"/>
            <w:shd w:val="clear" w:color="auto" w:fill="auto"/>
            <w:noWrap/>
          </w:tcPr>
          <w:p w:rsidR="002C2D5C" w:rsidRPr="00374C95" w:rsidRDefault="00D710B6" w:rsidP="00C378B2">
            <w:pPr>
              <w:spacing w:line="240" w:lineRule="auto"/>
              <w:jc w:val="both"/>
              <w:rPr>
                <w:rFonts w:cstheme="minorHAnsi"/>
                <w:sz w:val="18"/>
                <w:szCs w:val="18"/>
                <w:lang w:eastAsia="zh-CN"/>
              </w:rPr>
            </w:pPr>
            <w:r>
              <w:rPr>
                <w:rFonts w:cstheme="minorHAnsi"/>
                <w:sz w:val="18"/>
                <w:szCs w:val="18"/>
                <w:lang w:eastAsia="zh-CN"/>
              </w:rPr>
              <w:t>24.3%</w:t>
            </w:r>
          </w:p>
        </w:tc>
        <w:tc>
          <w:tcPr>
            <w:tcW w:w="1235" w:type="pct"/>
            <w:shd w:val="clear" w:color="auto" w:fill="auto"/>
            <w:noWrap/>
          </w:tcPr>
          <w:p w:rsidR="002C2D5C" w:rsidRPr="00374C95" w:rsidRDefault="00D710B6" w:rsidP="00C378B2">
            <w:pPr>
              <w:spacing w:line="240" w:lineRule="auto"/>
              <w:jc w:val="both"/>
              <w:rPr>
                <w:rFonts w:cstheme="minorHAnsi"/>
                <w:sz w:val="18"/>
                <w:szCs w:val="18"/>
                <w:lang w:eastAsia="zh-CN"/>
              </w:rPr>
            </w:pPr>
            <w:r>
              <w:rPr>
                <w:rFonts w:cstheme="minorHAnsi"/>
                <w:sz w:val="18"/>
                <w:szCs w:val="18"/>
                <w:lang w:eastAsia="zh-CN"/>
              </w:rPr>
              <w:t>17.9%</w:t>
            </w:r>
          </w:p>
        </w:tc>
      </w:tr>
      <w:tr w:rsidR="002C2D5C" w:rsidRPr="00374C95" w:rsidTr="00D710B6">
        <w:trPr>
          <w:trHeight w:val="288"/>
        </w:trPr>
        <w:tc>
          <w:tcPr>
            <w:tcW w:w="1295" w:type="pct"/>
            <w:shd w:val="clear" w:color="auto" w:fill="auto"/>
            <w:noWrap/>
            <w:vAlign w:val="center"/>
            <w:hideMark/>
          </w:tcPr>
          <w:p w:rsidR="002C2D5C" w:rsidRPr="00374C95" w:rsidRDefault="002C2D5C" w:rsidP="00C378B2">
            <w:pPr>
              <w:spacing w:line="240" w:lineRule="auto"/>
              <w:jc w:val="both"/>
              <w:rPr>
                <w:rFonts w:cstheme="minorHAnsi"/>
                <w:sz w:val="18"/>
                <w:szCs w:val="18"/>
                <w:lang w:eastAsia="zh-CN"/>
              </w:rPr>
            </w:pPr>
            <w:r w:rsidRPr="00374C95">
              <w:rPr>
                <w:rFonts w:cstheme="minorHAnsi"/>
                <w:sz w:val="18"/>
                <w:szCs w:val="18"/>
                <w:lang w:eastAsia="zh-CN"/>
              </w:rPr>
              <w:t>8 Rooms or more</w:t>
            </w:r>
          </w:p>
        </w:tc>
        <w:tc>
          <w:tcPr>
            <w:tcW w:w="1235" w:type="pct"/>
            <w:shd w:val="clear" w:color="auto" w:fill="auto"/>
            <w:noWrap/>
          </w:tcPr>
          <w:p w:rsidR="002C2D5C" w:rsidRPr="00374C95" w:rsidRDefault="00D710B6" w:rsidP="00C378B2">
            <w:pPr>
              <w:spacing w:line="240" w:lineRule="auto"/>
              <w:jc w:val="both"/>
              <w:rPr>
                <w:rFonts w:cstheme="minorHAnsi"/>
                <w:sz w:val="18"/>
                <w:szCs w:val="18"/>
                <w:lang w:eastAsia="zh-CN"/>
              </w:rPr>
            </w:pPr>
            <w:r>
              <w:rPr>
                <w:rFonts w:cstheme="minorHAnsi"/>
                <w:sz w:val="18"/>
                <w:szCs w:val="18"/>
                <w:lang w:eastAsia="zh-CN"/>
              </w:rPr>
              <w:t>42.3%</w:t>
            </w:r>
          </w:p>
        </w:tc>
        <w:tc>
          <w:tcPr>
            <w:tcW w:w="1235" w:type="pct"/>
            <w:shd w:val="clear" w:color="auto" w:fill="auto"/>
            <w:noWrap/>
          </w:tcPr>
          <w:p w:rsidR="002C2D5C" w:rsidRPr="00374C95" w:rsidRDefault="00D710B6" w:rsidP="00C378B2">
            <w:pPr>
              <w:spacing w:line="240" w:lineRule="auto"/>
              <w:jc w:val="both"/>
              <w:rPr>
                <w:rFonts w:cstheme="minorHAnsi"/>
                <w:sz w:val="18"/>
                <w:szCs w:val="18"/>
                <w:lang w:eastAsia="zh-CN"/>
              </w:rPr>
            </w:pPr>
            <w:r>
              <w:rPr>
                <w:rFonts w:cstheme="minorHAnsi"/>
                <w:sz w:val="18"/>
                <w:szCs w:val="18"/>
                <w:lang w:eastAsia="zh-CN"/>
              </w:rPr>
              <w:t>38.8%</w:t>
            </w:r>
          </w:p>
        </w:tc>
        <w:tc>
          <w:tcPr>
            <w:tcW w:w="1235" w:type="pct"/>
            <w:shd w:val="clear" w:color="auto" w:fill="auto"/>
            <w:noWrap/>
          </w:tcPr>
          <w:p w:rsidR="002C2D5C" w:rsidRPr="00374C95" w:rsidRDefault="00D710B6" w:rsidP="00C378B2">
            <w:pPr>
              <w:spacing w:line="240" w:lineRule="auto"/>
              <w:jc w:val="both"/>
              <w:rPr>
                <w:rFonts w:cstheme="minorHAnsi"/>
                <w:sz w:val="18"/>
                <w:szCs w:val="18"/>
                <w:lang w:eastAsia="zh-CN"/>
              </w:rPr>
            </w:pPr>
            <w:r>
              <w:rPr>
                <w:rFonts w:cstheme="minorHAnsi"/>
                <w:sz w:val="18"/>
                <w:szCs w:val="18"/>
                <w:lang w:eastAsia="zh-CN"/>
              </w:rPr>
              <w:t>29.8%</w:t>
            </w:r>
          </w:p>
        </w:tc>
      </w:tr>
    </w:tbl>
    <w:p w:rsidR="002C2D5C" w:rsidRPr="00374C95" w:rsidRDefault="002C2D5C" w:rsidP="002C2D5C">
      <w:pPr>
        <w:pStyle w:val="Source"/>
        <w:jc w:val="both"/>
        <w:rPr>
          <w:sz w:val="18"/>
          <w:szCs w:val="18"/>
          <w:lang w:val="en-GB"/>
        </w:rPr>
      </w:pPr>
      <w:r w:rsidRPr="00374C95">
        <w:rPr>
          <w:sz w:val="18"/>
          <w:szCs w:val="18"/>
          <w:lang w:val="en-GB"/>
        </w:rPr>
        <w:t>Source: ONS 2001-2011, AECOM Calculations</w:t>
      </w:r>
    </w:p>
    <w:p w:rsidR="00764D07" w:rsidRDefault="001F14A3" w:rsidP="00764D07">
      <w:pPr>
        <w:pStyle w:val="ListNumber"/>
        <w:spacing w:before="0"/>
        <w:jc w:val="both"/>
        <w:rPr>
          <w:sz w:val="18"/>
          <w:szCs w:val="18"/>
          <w:lang w:val="en-GB"/>
        </w:rPr>
      </w:pPr>
      <w:bookmarkStart w:id="108" w:name="_Toc533017436"/>
      <w:bookmarkStart w:id="109" w:name="_Toc536797448"/>
      <w:r w:rsidRPr="00374C95">
        <w:rPr>
          <w:sz w:val="18"/>
          <w:szCs w:val="18"/>
          <w:lang w:val="en-GB"/>
        </w:rPr>
        <w:t>Returning to the most recent Census data,</w:t>
      </w:r>
      <w:r w:rsidR="002C2D5C" w:rsidRPr="00374C95">
        <w:rPr>
          <w:sz w:val="18"/>
          <w:szCs w:val="18"/>
          <w:lang w:val="en-GB"/>
        </w:rPr>
        <w:t xml:space="preserve"> it is also useful to compare the </w:t>
      </w:r>
      <w:r w:rsidRPr="00374C95">
        <w:rPr>
          <w:sz w:val="18"/>
          <w:szCs w:val="18"/>
          <w:lang w:val="en-GB"/>
        </w:rPr>
        <w:t>figures for number</w:t>
      </w:r>
      <w:r w:rsidR="002C2D5C" w:rsidRPr="00374C95">
        <w:rPr>
          <w:sz w:val="18"/>
          <w:szCs w:val="18"/>
          <w:lang w:val="en-GB"/>
        </w:rPr>
        <w:t xml:space="preserve"> of </w:t>
      </w:r>
      <w:r w:rsidR="002C2D5C" w:rsidRPr="00374C95">
        <w:rPr>
          <w:sz w:val="18"/>
          <w:szCs w:val="18"/>
          <w:u w:val="single"/>
          <w:lang w:val="en-GB"/>
        </w:rPr>
        <w:t>rooms</w:t>
      </w:r>
      <w:r w:rsidR="002C2D5C" w:rsidRPr="00374C95">
        <w:rPr>
          <w:sz w:val="18"/>
          <w:szCs w:val="18"/>
          <w:lang w:val="en-GB"/>
        </w:rPr>
        <w:t xml:space="preserve"> with </w:t>
      </w:r>
      <w:r w:rsidR="002E4175" w:rsidRPr="00374C95">
        <w:rPr>
          <w:sz w:val="18"/>
          <w:szCs w:val="18"/>
          <w:lang w:val="en-GB"/>
        </w:rPr>
        <w:t xml:space="preserve">figures for </w:t>
      </w:r>
      <w:r w:rsidR="002C2D5C" w:rsidRPr="00374C95">
        <w:rPr>
          <w:sz w:val="18"/>
          <w:szCs w:val="18"/>
          <w:lang w:val="en-GB"/>
        </w:rPr>
        <w:t xml:space="preserve">the number of </w:t>
      </w:r>
      <w:r w:rsidR="002C2D5C" w:rsidRPr="00374C95">
        <w:rPr>
          <w:sz w:val="18"/>
          <w:szCs w:val="18"/>
          <w:u w:val="single"/>
          <w:lang w:val="en-GB"/>
        </w:rPr>
        <w:t>bedrooms</w:t>
      </w:r>
      <w:r w:rsidR="002C2D5C" w:rsidRPr="00374C95">
        <w:rPr>
          <w:sz w:val="18"/>
          <w:szCs w:val="18"/>
          <w:lang w:val="en-GB"/>
        </w:rPr>
        <w:t xml:space="preserve"> for each household. </w:t>
      </w:r>
      <w:fldSimple w:instr=" REF _Ref2877767 \h  \* MERGEFORMAT ">
        <w:r w:rsidR="00E14AFB" w:rsidRPr="002D4F56">
          <w:rPr>
            <w:sz w:val="18"/>
            <w:szCs w:val="18"/>
          </w:rPr>
          <w:t xml:space="preserve">Table </w:t>
        </w:r>
        <w:r w:rsidR="00E14AFB">
          <w:rPr>
            <w:noProof/>
            <w:sz w:val="18"/>
            <w:szCs w:val="18"/>
          </w:rPr>
          <w:t>6</w:t>
        </w:r>
        <w:r w:rsidR="00E14AFB" w:rsidRPr="002D4F56">
          <w:rPr>
            <w:noProof/>
            <w:sz w:val="18"/>
            <w:szCs w:val="18"/>
          </w:rPr>
          <w:noBreakHyphen/>
        </w:r>
        <w:r w:rsidR="00E14AFB">
          <w:rPr>
            <w:noProof/>
            <w:sz w:val="18"/>
            <w:szCs w:val="18"/>
          </w:rPr>
          <w:t>5</w:t>
        </w:r>
      </w:fldSimple>
      <w:r w:rsidR="002C2D5C" w:rsidRPr="00374C95">
        <w:rPr>
          <w:sz w:val="18"/>
          <w:szCs w:val="18"/>
          <w:lang w:val="en-GB"/>
        </w:rPr>
        <w:t xml:space="preserve"> below summarises the proportion of households occupying each size of home in terms of the number of bedrooms. This </w:t>
      </w:r>
      <w:r w:rsidR="00764D07" w:rsidRPr="00374C95">
        <w:rPr>
          <w:sz w:val="18"/>
          <w:szCs w:val="18"/>
          <w:lang w:val="en-GB"/>
        </w:rPr>
        <w:t>data shows that</w:t>
      </w:r>
      <w:r w:rsidR="00C370FB">
        <w:rPr>
          <w:sz w:val="18"/>
          <w:szCs w:val="18"/>
          <w:lang w:val="en-GB"/>
        </w:rPr>
        <w:t>, within Reedham,</w:t>
      </w:r>
      <w:r w:rsidR="00DA6CC1">
        <w:rPr>
          <w:sz w:val="18"/>
          <w:szCs w:val="18"/>
          <w:lang w:val="en-GB"/>
        </w:rPr>
        <w:t xml:space="preserve"> 3 bedroom homes are the most popular, with 47.3% of the local population occupying this size of dwelling. </w:t>
      </w:r>
      <w:r w:rsidR="00DF140B">
        <w:rPr>
          <w:sz w:val="18"/>
          <w:szCs w:val="18"/>
          <w:lang w:val="en-GB"/>
        </w:rPr>
        <w:t xml:space="preserve">This is also the case in Broadland. </w:t>
      </w:r>
      <w:r w:rsidR="002672FD">
        <w:rPr>
          <w:sz w:val="18"/>
          <w:szCs w:val="18"/>
          <w:lang w:val="en-GB"/>
        </w:rPr>
        <w:t>T</w:t>
      </w:r>
      <w:r w:rsidR="0039435D">
        <w:rPr>
          <w:sz w:val="18"/>
          <w:szCs w:val="18"/>
          <w:lang w:val="en-GB"/>
        </w:rPr>
        <w:t xml:space="preserve">he share of homes with 2 bedrooms is </w:t>
      </w:r>
      <w:r w:rsidR="00CC35D9">
        <w:rPr>
          <w:sz w:val="18"/>
          <w:szCs w:val="18"/>
          <w:lang w:val="en-GB"/>
        </w:rPr>
        <w:t>the second largest category in</w:t>
      </w:r>
      <w:r w:rsidR="0039435D">
        <w:rPr>
          <w:sz w:val="18"/>
          <w:szCs w:val="18"/>
          <w:lang w:val="en-GB"/>
        </w:rPr>
        <w:t xml:space="preserve"> </w:t>
      </w:r>
      <w:proofErr w:type="gramStart"/>
      <w:r w:rsidR="0039435D">
        <w:rPr>
          <w:sz w:val="18"/>
          <w:szCs w:val="18"/>
          <w:lang w:val="en-GB"/>
        </w:rPr>
        <w:t xml:space="preserve">Reedham </w:t>
      </w:r>
      <w:r w:rsidR="00CC35D9">
        <w:rPr>
          <w:sz w:val="18"/>
          <w:szCs w:val="18"/>
          <w:lang w:val="en-GB"/>
        </w:rPr>
        <w:t xml:space="preserve"> which</w:t>
      </w:r>
      <w:proofErr w:type="gramEnd"/>
      <w:r w:rsidR="002672FD">
        <w:rPr>
          <w:sz w:val="18"/>
          <w:szCs w:val="18"/>
          <w:lang w:val="en-GB"/>
        </w:rPr>
        <w:t xml:space="preserve"> is also similar in Broadland by only a difference of 1.2%</w:t>
      </w:r>
      <w:r w:rsidR="00CC35D9">
        <w:rPr>
          <w:sz w:val="18"/>
          <w:szCs w:val="18"/>
          <w:lang w:val="en-GB"/>
        </w:rPr>
        <w:t>.</w:t>
      </w:r>
    </w:p>
    <w:p w:rsidR="0042428A" w:rsidRDefault="0042428A" w:rsidP="0042428A">
      <w:pPr>
        <w:pStyle w:val="ListNumber"/>
        <w:numPr>
          <w:ilvl w:val="0"/>
          <w:numId w:val="0"/>
        </w:numPr>
        <w:spacing w:before="0"/>
        <w:ind w:left="425" w:hanging="425"/>
        <w:jc w:val="both"/>
        <w:rPr>
          <w:sz w:val="18"/>
          <w:szCs w:val="18"/>
          <w:lang w:val="en-GB"/>
        </w:rPr>
      </w:pPr>
    </w:p>
    <w:p w:rsidR="0042428A" w:rsidRDefault="0042428A" w:rsidP="0042428A">
      <w:pPr>
        <w:pStyle w:val="ListNumber"/>
        <w:numPr>
          <w:ilvl w:val="0"/>
          <w:numId w:val="0"/>
        </w:numPr>
        <w:spacing w:before="0"/>
        <w:ind w:left="425" w:hanging="425"/>
        <w:jc w:val="both"/>
        <w:rPr>
          <w:sz w:val="18"/>
          <w:szCs w:val="18"/>
          <w:lang w:val="en-GB"/>
        </w:rPr>
      </w:pPr>
    </w:p>
    <w:p w:rsidR="0042428A" w:rsidRDefault="0042428A" w:rsidP="0042428A">
      <w:pPr>
        <w:pStyle w:val="ListNumber"/>
        <w:numPr>
          <w:ilvl w:val="0"/>
          <w:numId w:val="0"/>
        </w:numPr>
        <w:spacing w:before="0"/>
        <w:ind w:left="425" w:hanging="425"/>
        <w:jc w:val="both"/>
        <w:rPr>
          <w:sz w:val="18"/>
          <w:szCs w:val="18"/>
          <w:lang w:val="en-GB"/>
        </w:rPr>
      </w:pPr>
    </w:p>
    <w:p w:rsidR="0042428A" w:rsidRPr="00374C95" w:rsidRDefault="0042428A" w:rsidP="0042428A">
      <w:pPr>
        <w:pStyle w:val="ListNumber"/>
        <w:numPr>
          <w:ilvl w:val="0"/>
          <w:numId w:val="0"/>
        </w:numPr>
        <w:spacing w:before="0"/>
        <w:ind w:left="425" w:hanging="425"/>
        <w:jc w:val="both"/>
        <w:rPr>
          <w:sz w:val="18"/>
          <w:szCs w:val="18"/>
          <w:lang w:val="en-GB"/>
        </w:rPr>
      </w:pPr>
    </w:p>
    <w:p w:rsidR="002C2D5C" w:rsidRPr="002D4F56" w:rsidRDefault="002C2D5C" w:rsidP="002C2D5C">
      <w:pPr>
        <w:pStyle w:val="Caption"/>
        <w:jc w:val="both"/>
        <w:rPr>
          <w:sz w:val="18"/>
          <w:szCs w:val="18"/>
        </w:rPr>
      </w:pPr>
      <w:bookmarkStart w:id="110" w:name="_Ref2877767"/>
      <w:r w:rsidRPr="002D4F56">
        <w:rPr>
          <w:sz w:val="18"/>
          <w:szCs w:val="18"/>
        </w:rPr>
        <w:lastRenderedPageBreak/>
        <w:t xml:space="preserve">Table </w:t>
      </w:r>
      <w:r w:rsidR="001A69AC" w:rsidRPr="002D4F56">
        <w:rPr>
          <w:noProof/>
          <w:sz w:val="18"/>
          <w:szCs w:val="18"/>
        </w:rPr>
        <w:fldChar w:fldCharType="begin"/>
      </w:r>
      <w:r w:rsidRPr="002D4F56">
        <w:rPr>
          <w:noProof/>
          <w:sz w:val="18"/>
          <w:szCs w:val="18"/>
        </w:rPr>
        <w:instrText xml:space="preserve"> STYLEREF 1 \s </w:instrText>
      </w:r>
      <w:r w:rsidR="001A69AC" w:rsidRPr="002D4F56">
        <w:rPr>
          <w:noProof/>
          <w:sz w:val="18"/>
          <w:szCs w:val="18"/>
        </w:rPr>
        <w:fldChar w:fldCharType="separate"/>
      </w:r>
      <w:r w:rsidR="00E14AFB">
        <w:rPr>
          <w:noProof/>
          <w:sz w:val="18"/>
          <w:szCs w:val="18"/>
        </w:rPr>
        <w:t>6</w:t>
      </w:r>
      <w:r w:rsidR="001A69AC" w:rsidRPr="002D4F56">
        <w:rPr>
          <w:noProof/>
          <w:sz w:val="18"/>
          <w:szCs w:val="18"/>
        </w:rPr>
        <w:fldChar w:fldCharType="end"/>
      </w:r>
      <w:r w:rsidRPr="002D4F56">
        <w:rPr>
          <w:sz w:val="18"/>
          <w:szCs w:val="18"/>
        </w:rPr>
        <w:noBreakHyphen/>
      </w:r>
      <w:r w:rsidR="001A69AC" w:rsidRPr="002D4F56">
        <w:rPr>
          <w:noProof/>
          <w:sz w:val="18"/>
          <w:szCs w:val="18"/>
        </w:rPr>
        <w:fldChar w:fldCharType="begin"/>
      </w:r>
      <w:r w:rsidRPr="002D4F56">
        <w:rPr>
          <w:noProof/>
          <w:sz w:val="18"/>
          <w:szCs w:val="18"/>
        </w:rPr>
        <w:instrText xml:space="preserve"> SEQ Table \* ARABIC \s 1 </w:instrText>
      </w:r>
      <w:r w:rsidR="001A69AC" w:rsidRPr="002D4F56">
        <w:rPr>
          <w:noProof/>
          <w:sz w:val="18"/>
          <w:szCs w:val="18"/>
        </w:rPr>
        <w:fldChar w:fldCharType="separate"/>
      </w:r>
      <w:r w:rsidR="00E14AFB">
        <w:rPr>
          <w:noProof/>
          <w:sz w:val="18"/>
          <w:szCs w:val="18"/>
        </w:rPr>
        <w:t>5</w:t>
      </w:r>
      <w:r w:rsidR="001A69AC" w:rsidRPr="002D4F56">
        <w:rPr>
          <w:noProof/>
          <w:sz w:val="18"/>
          <w:szCs w:val="18"/>
        </w:rPr>
        <w:fldChar w:fldCharType="end"/>
      </w:r>
      <w:bookmarkEnd w:id="110"/>
      <w:r w:rsidRPr="002D4F56">
        <w:rPr>
          <w:sz w:val="18"/>
          <w:szCs w:val="18"/>
        </w:rPr>
        <w:t>: Number of bedrooms in household spaces</w:t>
      </w:r>
      <w:r w:rsidR="002D4F56">
        <w:rPr>
          <w:sz w:val="18"/>
          <w:szCs w:val="18"/>
        </w:rPr>
        <w:t xml:space="preserve"> in </w:t>
      </w:r>
      <w:r w:rsidR="001A112F">
        <w:rPr>
          <w:sz w:val="18"/>
          <w:szCs w:val="18"/>
        </w:rPr>
        <w:t>Reedham</w:t>
      </w:r>
      <w:r w:rsidRPr="002D4F56">
        <w:rPr>
          <w:sz w:val="18"/>
          <w:szCs w:val="18"/>
        </w:rPr>
        <w:t>, 2011</w:t>
      </w:r>
    </w:p>
    <w:tbl>
      <w:tblPr>
        <w:tblW w:w="4767"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84"/>
        <w:gridCol w:w="1150"/>
        <w:gridCol w:w="1152"/>
        <w:gridCol w:w="1150"/>
        <w:gridCol w:w="1152"/>
        <w:gridCol w:w="1150"/>
        <w:gridCol w:w="1144"/>
      </w:tblGrid>
      <w:tr w:rsidR="002C2D5C" w:rsidRPr="00374C95" w:rsidTr="00C378B2">
        <w:trPr>
          <w:trHeight w:val="413"/>
        </w:trPr>
        <w:tc>
          <w:tcPr>
            <w:tcW w:w="1401" w:type="pct"/>
            <w:shd w:val="clear" w:color="auto" w:fill="000000" w:themeFill="text1"/>
            <w:vAlign w:val="center"/>
            <w:hideMark/>
          </w:tcPr>
          <w:p w:rsidR="002C2D5C" w:rsidRPr="00374C95" w:rsidRDefault="002C2D5C" w:rsidP="00C378B2">
            <w:pPr>
              <w:spacing w:line="240" w:lineRule="auto"/>
              <w:jc w:val="both"/>
              <w:rPr>
                <w:rFonts w:asciiTheme="majorHAnsi" w:hAnsiTheme="majorHAnsi" w:cstheme="majorHAnsi"/>
                <w:b/>
                <w:bCs/>
                <w:color w:val="FFFFFF" w:themeColor="background1"/>
                <w:sz w:val="18"/>
                <w:szCs w:val="18"/>
                <w:lang w:eastAsia="zh-CN"/>
              </w:rPr>
            </w:pPr>
            <w:r w:rsidRPr="00374C95">
              <w:rPr>
                <w:rFonts w:asciiTheme="majorHAnsi" w:hAnsiTheme="majorHAnsi" w:cstheme="majorHAnsi"/>
                <w:b/>
                <w:bCs/>
                <w:color w:val="FFFFFF" w:themeColor="background1"/>
                <w:sz w:val="18"/>
                <w:szCs w:val="18"/>
                <w:lang w:eastAsia="zh-CN"/>
              </w:rPr>
              <w:t>Bedrooms</w:t>
            </w:r>
          </w:p>
        </w:tc>
        <w:tc>
          <w:tcPr>
            <w:tcW w:w="1201" w:type="pct"/>
            <w:gridSpan w:val="2"/>
            <w:shd w:val="clear" w:color="auto" w:fill="000000" w:themeFill="text1"/>
            <w:vAlign w:val="center"/>
          </w:tcPr>
          <w:p w:rsidR="002C2D5C" w:rsidRPr="00374C95" w:rsidRDefault="001A112F" w:rsidP="00C378B2">
            <w:pPr>
              <w:spacing w:line="240" w:lineRule="auto"/>
              <w:jc w:val="both"/>
              <w:rPr>
                <w:rFonts w:asciiTheme="majorHAnsi" w:hAnsiTheme="majorHAnsi" w:cstheme="majorHAnsi"/>
                <w:b/>
                <w:bCs/>
                <w:color w:val="FFFFFF" w:themeColor="background1"/>
                <w:sz w:val="18"/>
                <w:szCs w:val="18"/>
                <w:lang w:eastAsia="zh-CN"/>
              </w:rPr>
            </w:pPr>
            <w:r>
              <w:rPr>
                <w:rFonts w:asciiTheme="majorHAnsi" w:hAnsiTheme="majorHAnsi" w:cstheme="majorHAnsi"/>
                <w:b/>
                <w:bCs/>
                <w:color w:val="FFFFFF" w:themeColor="background1"/>
                <w:sz w:val="18"/>
                <w:szCs w:val="18"/>
                <w:lang w:eastAsia="zh-CN"/>
              </w:rPr>
              <w:t>Reedham</w:t>
            </w:r>
          </w:p>
        </w:tc>
        <w:tc>
          <w:tcPr>
            <w:tcW w:w="1201" w:type="pct"/>
            <w:gridSpan w:val="2"/>
            <w:shd w:val="clear" w:color="auto" w:fill="000000" w:themeFill="text1"/>
            <w:vAlign w:val="center"/>
          </w:tcPr>
          <w:p w:rsidR="002C2D5C" w:rsidRPr="00374C95" w:rsidRDefault="001A112F" w:rsidP="00C378B2">
            <w:pPr>
              <w:spacing w:line="240" w:lineRule="auto"/>
              <w:jc w:val="both"/>
              <w:rPr>
                <w:rFonts w:asciiTheme="majorHAnsi" w:hAnsiTheme="majorHAnsi" w:cstheme="majorHAnsi"/>
                <w:b/>
                <w:bCs/>
                <w:color w:val="FFFFFF" w:themeColor="background1"/>
                <w:sz w:val="18"/>
                <w:szCs w:val="18"/>
                <w:lang w:eastAsia="zh-CN"/>
              </w:rPr>
            </w:pPr>
            <w:r>
              <w:rPr>
                <w:rFonts w:asciiTheme="majorHAnsi" w:hAnsiTheme="majorHAnsi" w:cstheme="majorHAnsi"/>
                <w:b/>
                <w:bCs/>
                <w:color w:val="FFFFFF" w:themeColor="background1"/>
                <w:sz w:val="18"/>
                <w:szCs w:val="18"/>
                <w:lang w:eastAsia="zh-CN"/>
              </w:rPr>
              <w:t>Broadland</w:t>
            </w:r>
          </w:p>
        </w:tc>
        <w:tc>
          <w:tcPr>
            <w:tcW w:w="1197" w:type="pct"/>
            <w:gridSpan w:val="2"/>
            <w:shd w:val="clear" w:color="auto" w:fill="000000" w:themeFill="text1"/>
            <w:vAlign w:val="center"/>
          </w:tcPr>
          <w:p w:rsidR="002C2D5C" w:rsidRPr="00374C95" w:rsidRDefault="001A112F" w:rsidP="00C378B2">
            <w:pPr>
              <w:spacing w:line="240" w:lineRule="auto"/>
              <w:jc w:val="both"/>
              <w:rPr>
                <w:rFonts w:asciiTheme="majorHAnsi" w:hAnsiTheme="majorHAnsi" w:cstheme="majorHAnsi"/>
                <w:b/>
                <w:bCs/>
                <w:color w:val="FFFFFF" w:themeColor="background1"/>
                <w:sz w:val="18"/>
                <w:szCs w:val="18"/>
                <w:lang w:eastAsia="zh-CN"/>
              </w:rPr>
            </w:pPr>
            <w:r>
              <w:rPr>
                <w:rFonts w:asciiTheme="majorHAnsi" w:hAnsiTheme="majorHAnsi" w:cstheme="majorHAnsi"/>
                <w:b/>
                <w:bCs/>
                <w:color w:val="FFFFFF" w:themeColor="background1"/>
                <w:sz w:val="18"/>
                <w:szCs w:val="18"/>
                <w:lang w:eastAsia="zh-CN"/>
              </w:rPr>
              <w:t>England</w:t>
            </w:r>
          </w:p>
        </w:tc>
      </w:tr>
      <w:tr w:rsidR="002C2D5C" w:rsidRPr="00374C95" w:rsidTr="00C378B2">
        <w:trPr>
          <w:trHeight w:val="288"/>
        </w:trPr>
        <w:tc>
          <w:tcPr>
            <w:tcW w:w="1401" w:type="pct"/>
            <w:shd w:val="clear" w:color="auto" w:fill="auto"/>
            <w:noWrap/>
            <w:vAlign w:val="center"/>
            <w:hideMark/>
          </w:tcPr>
          <w:p w:rsidR="002C2D5C" w:rsidRPr="00374C95" w:rsidRDefault="002C2D5C" w:rsidP="00C378B2">
            <w:pPr>
              <w:spacing w:line="240" w:lineRule="auto"/>
              <w:jc w:val="both"/>
              <w:rPr>
                <w:rFonts w:asciiTheme="majorHAnsi" w:hAnsiTheme="majorHAnsi" w:cstheme="majorHAnsi"/>
                <w:b/>
                <w:sz w:val="18"/>
                <w:szCs w:val="18"/>
                <w:lang w:eastAsia="zh-CN"/>
              </w:rPr>
            </w:pPr>
            <w:r w:rsidRPr="00374C95">
              <w:rPr>
                <w:rFonts w:asciiTheme="majorHAnsi" w:hAnsiTheme="majorHAnsi" w:cstheme="majorHAnsi"/>
                <w:b/>
                <w:sz w:val="18"/>
                <w:szCs w:val="18"/>
                <w:lang w:eastAsia="zh-CN"/>
              </w:rPr>
              <w:t>All categories: no. of bedrooms</w:t>
            </w:r>
          </w:p>
        </w:tc>
        <w:tc>
          <w:tcPr>
            <w:tcW w:w="600" w:type="pct"/>
            <w:shd w:val="clear" w:color="auto" w:fill="auto"/>
            <w:noWrap/>
          </w:tcPr>
          <w:p w:rsidR="002C2D5C" w:rsidRPr="00374C95" w:rsidRDefault="001A112F" w:rsidP="00C378B2">
            <w:pPr>
              <w:spacing w:line="240" w:lineRule="auto"/>
              <w:jc w:val="both"/>
              <w:rPr>
                <w:rFonts w:asciiTheme="majorHAnsi" w:hAnsiTheme="majorHAnsi" w:cstheme="majorHAnsi"/>
                <w:b/>
                <w:sz w:val="18"/>
                <w:szCs w:val="18"/>
                <w:lang w:eastAsia="zh-CN"/>
              </w:rPr>
            </w:pPr>
            <w:r>
              <w:rPr>
                <w:rFonts w:asciiTheme="majorHAnsi" w:hAnsiTheme="majorHAnsi" w:cstheme="majorHAnsi"/>
                <w:b/>
                <w:sz w:val="18"/>
                <w:szCs w:val="18"/>
                <w:lang w:eastAsia="zh-CN"/>
              </w:rPr>
              <w:t>505</w:t>
            </w:r>
          </w:p>
        </w:tc>
        <w:tc>
          <w:tcPr>
            <w:tcW w:w="601" w:type="pct"/>
            <w:shd w:val="clear" w:color="auto" w:fill="auto"/>
            <w:noWrap/>
          </w:tcPr>
          <w:p w:rsidR="002C2D5C" w:rsidRPr="00374C95" w:rsidRDefault="001A112F" w:rsidP="00C378B2">
            <w:pPr>
              <w:spacing w:line="240" w:lineRule="auto"/>
              <w:jc w:val="both"/>
              <w:rPr>
                <w:rFonts w:asciiTheme="majorHAnsi" w:hAnsiTheme="majorHAnsi" w:cstheme="majorHAnsi"/>
                <w:b/>
                <w:sz w:val="18"/>
                <w:szCs w:val="18"/>
                <w:lang w:eastAsia="zh-CN"/>
              </w:rPr>
            </w:pPr>
            <w:r>
              <w:rPr>
                <w:rFonts w:asciiTheme="majorHAnsi" w:hAnsiTheme="majorHAnsi" w:cstheme="majorHAnsi"/>
                <w:b/>
                <w:sz w:val="18"/>
                <w:szCs w:val="18"/>
                <w:lang w:eastAsia="zh-CN"/>
              </w:rPr>
              <w:t>100.0%</w:t>
            </w:r>
          </w:p>
        </w:tc>
        <w:tc>
          <w:tcPr>
            <w:tcW w:w="600" w:type="pct"/>
            <w:shd w:val="clear" w:color="auto" w:fill="auto"/>
            <w:noWrap/>
          </w:tcPr>
          <w:p w:rsidR="002C2D5C" w:rsidRPr="00374C95" w:rsidRDefault="001A112F" w:rsidP="00C378B2">
            <w:pPr>
              <w:spacing w:line="240" w:lineRule="auto"/>
              <w:jc w:val="both"/>
              <w:rPr>
                <w:rFonts w:asciiTheme="majorHAnsi" w:hAnsiTheme="majorHAnsi" w:cstheme="majorHAnsi"/>
                <w:b/>
                <w:sz w:val="18"/>
                <w:szCs w:val="18"/>
                <w:lang w:eastAsia="zh-CN"/>
              </w:rPr>
            </w:pPr>
            <w:r>
              <w:rPr>
                <w:rFonts w:asciiTheme="majorHAnsi" w:hAnsiTheme="majorHAnsi" w:cstheme="majorHAnsi"/>
                <w:b/>
                <w:sz w:val="18"/>
                <w:szCs w:val="18"/>
                <w:lang w:eastAsia="zh-CN"/>
              </w:rPr>
              <w:t>5,</w:t>
            </w:r>
            <w:r w:rsidR="00F82514">
              <w:rPr>
                <w:rFonts w:asciiTheme="majorHAnsi" w:hAnsiTheme="majorHAnsi" w:cstheme="majorHAnsi"/>
                <w:b/>
                <w:sz w:val="18"/>
                <w:szCs w:val="18"/>
                <w:lang w:eastAsia="zh-CN"/>
              </w:rPr>
              <w:t>3</w:t>
            </w:r>
            <w:r>
              <w:rPr>
                <w:rFonts w:asciiTheme="majorHAnsi" w:hAnsiTheme="majorHAnsi" w:cstheme="majorHAnsi"/>
                <w:b/>
                <w:sz w:val="18"/>
                <w:szCs w:val="18"/>
                <w:lang w:eastAsia="zh-CN"/>
              </w:rPr>
              <w:t>336</w:t>
            </w:r>
          </w:p>
        </w:tc>
        <w:tc>
          <w:tcPr>
            <w:tcW w:w="601" w:type="pct"/>
            <w:shd w:val="clear" w:color="auto" w:fill="auto"/>
            <w:noWrap/>
          </w:tcPr>
          <w:p w:rsidR="002C2D5C" w:rsidRPr="00374C95" w:rsidRDefault="00404DF7" w:rsidP="00C378B2">
            <w:pPr>
              <w:spacing w:line="240" w:lineRule="auto"/>
              <w:jc w:val="both"/>
              <w:rPr>
                <w:rFonts w:asciiTheme="majorHAnsi" w:hAnsiTheme="majorHAnsi" w:cstheme="majorHAnsi"/>
                <w:b/>
                <w:sz w:val="18"/>
                <w:szCs w:val="18"/>
                <w:lang w:eastAsia="zh-CN"/>
              </w:rPr>
            </w:pPr>
            <w:r>
              <w:rPr>
                <w:rFonts w:asciiTheme="majorHAnsi" w:hAnsiTheme="majorHAnsi" w:cstheme="majorHAnsi"/>
                <w:b/>
                <w:sz w:val="18"/>
                <w:szCs w:val="18"/>
                <w:lang w:eastAsia="zh-CN"/>
              </w:rPr>
              <w:t xml:space="preserve"> 100%</w:t>
            </w:r>
          </w:p>
        </w:tc>
        <w:tc>
          <w:tcPr>
            <w:tcW w:w="600" w:type="pct"/>
          </w:tcPr>
          <w:p w:rsidR="002C2D5C" w:rsidRPr="00032A65" w:rsidRDefault="00032A65" w:rsidP="00C378B2">
            <w:pPr>
              <w:spacing w:line="240" w:lineRule="auto"/>
              <w:jc w:val="both"/>
              <w:rPr>
                <w:rFonts w:asciiTheme="majorHAnsi" w:hAnsiTheme="majorHAnsi" w:cstheme="majorHAnsi"/>
                <w:b/>
                <w:sz w:val="18"/>
                <w:szCs w:val="18"/>
                <w:lang w:eastAsia="zh-CN"/>
              </w:rPr>
            </w:pPr>
            <w:r w:rsidRPr="00032A65">
              <w:rPr>
                <w:rFonts w:asciiTheme="majorHAnsi" w:hAnsiTheme="majorHAnsi" w:cstheme="majorHAnsi"/>
                <w:b/>
                <w:sz w:val="18"/>
                <w:szCs w:val="18"/>
                <w:lang w:eastAsia="zh-CN"/>
              </w:rPr>
              <w:t>22,063,368</w:t>
            </w:r>
          </w:p>
        </w:tc>
        <w:tc>
          <w:tcPr>
            <w:tcW w:w="597" w:type="pct"/>
            <w:shd w:val="clear" w:color="auto" w:fill="auto"/>
            <w:noWrap/>
          </w:tcPr>
          <w:p w:rsidR="00032A65" w:rsidRPr="00032A65" w:rsidRDefault="00032A65" w:rsidP="00032A65">
            <w:pPr>
              <w:spacing w:before="0" w:after="0" w:line="240" w:lineRule="auto"/>
              <w:jc w:val="both"/>
              <w:rPr>
                <w:b/>
                <w:bCs/>
                <w:sz w:val="18"/>
                <w:szCs w:val="18"/>
              </w:rPr>
            </w:pPr>
            <w:r w:rsidRPr="00032A65">
              <w:rPr>
                <w:b/>
                <w:bCs/>
                <w:sz w:val="18"/>
                <w:szCs w:val="18"/>
              </w:rPr>
              <w:t>100.0%</w:t>
            </w:r>
          </w:p>
          <w:p w:rsidR="002C2D5C" w:rsidRPr="00032A65" w:rsidRDefault="002C2D5C" w:rsidP="00C378B2">
            <w:pPr>
              <w:spacing w:line="240" w:lineRule="auto"/>
              <w:jc w:val="both"/>
              <w:rPr>
                <w:rFonts w:asciiTheme="majorHAnsi" w:hAnsiTheme="majorHAnsi" w:cstheme="majorHAnsi"/>
                <w:b/>
                <w:sz w:val="18"/>
                <w:szCs w:val="18"/>
                <w:lang w:eastAsia="zh-CN"/>
              </w:rPr>
            </w:pPr>
          </w:p>
        </w:tc>
      </w:tr>
      <w:tr w:rsidR="002C2D5C" w:rsidRPr="00374C95" w:rsidTr="00A63374">
        <w:trPr>
          <w:trHeight w:val="425"/>
        </w:trPr>
        <w:tc>
          <w:tcPr>
            <w:tcW w:w="1401" w:type="pct"/>
            <w:shd w:val="clear" w:color="auto" w:fill="auto"/>
            <w:noWrap/>
            <w:vAlign w:val="center"/>
            <w:hideMark/>
          </w:tcPr>
          <w:p w:rsidR="002C2D5C" w:rsidRPr="00374C95" w:rsidRDefault="002C2D5C" w:rsidP="00C378B2">
            <w:pPr>
              <w:spacing w:line="240" w:lineRule="auto"/>
              <w:jc w:val="both"/>
              <w:rPr>
                <w:rFonts w:asciiTheme="majorHAnsi" w:hAnsiTheme="majorHAnsi" w:cstheme="majorHAnsi"/>
                <w:sz w:val="18"/>
                <w:szCs w:val="18"/>
                <w:lang w:eastAsia="zh-CN"/>
              </w:rPr>
            </w:pPr>
            <w:r w:rsidRPr="00374C95">
              <w:rPr>
                <w:rFonts w:asciiTheme="majorHAnsi" w:hAnsiTheme="majorHAnsi" w:cstheme="majorHAnsi"/>
                <w:sz w:val="18"/>
                <w:szCs w:val="18"/>
                <w:lang w:eastAsia="zh-CN"/>
              </w:rPr>
              <w:t>No. bedrooms</w:t>
            </w:r>
          </w:p>
        </w:tc>
        <w:tc>
          <w:tcPr>
            <w:tcW w:w="600" w:type="pct"/>
            <w:shd w:val="clear" w:color="auto" w:fill="auto"/>
            <w:noWrap/>
          </w:tcPr>
          <w:p w:rsidR="002C2D5C" w:rsidRPr="00374C95" w:rsidRDefault="001A112F" w:rsidP="00C378B2">
            <w:pPr>
              <w:spacing w:line="240" w:lineRule="auto"/>
              <w:jc w:val="both"/>
              <w:rPr>
                <w:rFonts w:asciiTheme="majorHAnsi" w:hAnsiTheme="majorHAnsi" w:cstheme="majorHAnsi"/>
                <w:sz w:val="18"/>
                <w:szCs w:val="18"/>
                <w:lang w:eastAsia="zh-CN"/>
              </w:rPr>
            </w:pPr>
            <w:r>
              <w:rPr>
                <w:rFonts w:asciiTheme="majorHAnsi" w:hAnsiTheme="majorHAnsi" w:cstheme="majorHAnsi"/>
                <w:sz w:val="18"/>
                <w:szCs w:val="18"/>
                <w:lang w:eastAsia="zh-CN"/>
              </w:rPr>
              <w:t>0</w:t>
            </w:r>
          </w:p>
        </w:tc>
        <w:tc>
          <w:tcPr>
            <w:tcW w:w="601" w:type="pct"/>
            <w:shd w:val="clear" w:color="auto" w:fill="auto"/>
            <w:noWrap/>
          </w:tcPr>
          <w:p w:rsidR="002C2D5C" w:rsidRPr="00374C95" w:rsidRDefault="001A112F" w:rsidP="00C378B2">
            <w:pPr>
              <w:spacing w:line="240" w:lineRule="auto"/>
              <w:jc w:val="both"/>
              <w:rPr>
                <w:rFonts w:asciiTheme="majorHAnsi" w:hAnsiTheme="majorHAnsi" w:cstheme="majorHAnsi"/>
                <w:sz w:val="18"/>
                <w:szCs w:val="18"/>
                <w:lang w:eastAsia="zh-CN"/>
              </w:rPr>
            </w:pPr>
            <w:r>
              <w:rPr>
                <w:rFonts w:asciiTheme="majorHAnsi" w:hAnsiTheme="majorHAnsi" w:cstheme="majorHAnsi"/>
                <w:sz w:val="18"/>
                <w:szCs w:val="18"/>
                <w:lang w:eastAsia="zh-CN"/>
              </w:rPr>
              <w:t>0.0%</w:t>
            </w:r>
          </w:p>
        </w:tc>
        <w:tc>
          <w:tcPr>
            <w:tcW w:w="600" w:type="pct"/>
            <w:shd w:val="clear" w:color="auto" w:fill="auto"/>
            <w:noWrap/>
          </w:tcPr>
          <w:p w:rsidR="002C2D5C" w:rsidRPr="00374C95" w:rsidRDefault="001A112F" w:rsidP="00C378B2">
            <w:pPr>
              <w:spacing w:line="240" w:lineRule="auto"/>
              <w:jc w:val="both"/>
              <w:rPr>
                <w:rFonts w:asciiTheme="majorHAnsi" w:hAnsiTheme="majorHAnsi" w:cstheme="majorHAnsi"/>
                <w:sz w:val="18"/>
                <w:szCs w:val="18"/>
                <w:lang w:eastAsia="zh-CN"/>
              </w:rPr>
            </w:pPr>
            <w:r>
              <w:rPr>
                <w:rFonts w:asciiTheme="majorHAnsi" w:hAnsiTheme="majorHAnsi" w:cstheme="majorHAnsi"/>
                <w:sz w:val="18"/>
                <w:szCs w:val="18"/>
                <w:lang w:eastAsia="zh-CN"/>
              </w:rPr>
              <w:t>57</w:t>
            </w:r>
          </w:p>
        </w:tc>
        <w:tc>
          <w:tcPr>
            <w:tcW w:w="601" w:type="pct"/>
            <w:shd w:val="clear" w:color="auto" w:fill="auto"/>
            <w:noWrap/>
          </w:tcPr>
          <w:p w:rsidR="002C2D5C" w:rsidRPr="00374C95" w:rsidRDefault="002672FD" w:rsidP="00C378B2">
            <w:pPr>
              <w:spacing w:line="240" w:lineRule="auto"/>
              <w:jc w:val="both"/>
              <w:rPr>
                <w:rFonts w:asciiTheme="majorHAnsi" w:hAnsiTheme="majorHAnsi" w:cstheme="majorHAnsi"/>
                <w:sz w:val="18"/>
                <w:szCs w:val="18"/>
                <w:lang w:eastAsia="zh-CN"/>
              </w:rPr>
            </w:pPr>
            <w:r>
              <w:rPr>
                <w:rFonts w:asciiTheme="majorHAnsi" w:hAnsiTheme="majorHAnsi" w:cstheme="majorHAnsi"/>
                <w:sz w:val="18"/>
                <w:szCs w:val="18"/>
                <w:lang w:eastAsia="zh-CN"/>
              </w:rPr>
              <w:t xml:space="preserve"> 0.1%</w:t>
            </w:r>
          </w:p>
        </w:tc>
        <w:tc>
          <w:tcPr>
            <w:tcW w:w="600" w:type="pct"/>
          </w:tcPr>
          <w:p w:rsidR="002C2D5C" w:rsidRPr="00032A65" w:rsidRDefault="00032A65" w:rsidP="00C378B2">
            <w:pPr>
              <w:spacing w:line="240" w:lineRule="auto"/>
              <w:jc w:val="both"/>
              <w:rPr>
                <w:rFonts w:asciiTheme="majorHAnsi" w:hAnsiTheme="majorHAnsi" w:cstheme="majorHAnsi"/>
                <w:sz w:val="18"/>
                <w:szCs w:val="18"/>
                <w:lang w:eastAsia="zh-CN"/>
              </w:rPr>
            </w:pPr>
            <w:r w:rsidRPr="00032A65">
              <w:rPr>
                <w:rFonts w:asciiTheme="majorHAnsi" w:hAnsiTheme="majorHAnsi" w:cstheme="majorHAnsi"/>
                <w:sz w:val="18"/>
                <w:szCs w:val="18"/>
                <w:lang w:eastAsia="zh-CN"/>
              </w:rPr>
              <w:t>54,938</w:t>
            </w:r>
          </w:p>
        </w:tc>
        <w:tc>
          <w:tcPr>
            <w:tcW w:w="597" w:type="pct"/>
            <w:shd w:val="clear" w:color="auto" w:fill="auto"/>
            <w:noWrap/>
          </w:tcPr>
          <w:p w:rsidR="00032A65" w:rsidRPr="00032A65" w:rsidRDefault="00032A65" w:rsidP="00032A65">
            <w:pPr>
              <w:spacing w:before="0" w:after="0" w:line="240" w:lineRule="auto"/>
              <w:jc w:val="both"/>
              <w:rPr>
                <w:sz w:val="18"/>
                <w:szCs w:val="18"/>
              </w:rPr>
            </w:pPr>
            <w:r w:rsidRPr="00032A65">
              <w:rPr>
                <w:sz w:val="18"/>
                <w:szCs w:val="18"/>
              </w:rPr>
              <w:t>0.2%</w:t>
            </w:r>
          </w:p>
          <w:p w:rsidR="002C2D5C" w:rsidRPr="00032A65" w:rsidRDefault="002C2D5C" w:rsidP="00C378B2">
            <w:pPr>
              <w:spacing w:line="240" w:lineRule="auto"/>
              <w:jc w:val="both"/>
              <w:rPr>
                <w:rFonts w:asciiTheme="majorHAnsi" w:hAnsiTheme="majorHAnsi" w:cstheme="majorHAnsi"/>
                <w:sz w:val="18"/>
                <w:szCs w:val="18"/>
                <w:lang w:eastAsia="zh-CN"/>
              </w:rPr>
            </w:pPr>
          </w:p>
        </w:tc>
      </w:tr>
      <w:tr w:rsidR="002C2D5C" w:rsidRPr="00374C95" w:rsidTr="00C378B2">
        <w:trPr>
          <w:trHeight w:val="288"/>
        </w:trPr>
        <w:tc>
          <w:tcPr>
            <w:tcW w:w="1401" w:type="pct"/>
            <w:shd w:val="clear" w:color="auto" w:fill="auto"/>
            <w:noWrap/>
            <w:vAlign w:val="center"/>
            <w:hideMark/>
          </w:tcPr>
          <w:p w:rsidR="002C2D5C" w:rsidRPr="00374C95" w:rsidRDefault="002C2D5C" w:rsidP="00C378B2">
            <w:pPr>
              <w:spacing w:line="240" w:lineRule="auto"/>
              <w:jc w:val="both"/>
              <w:rPr>
                <w:rFonts w:asciiTheme="majorHAnsi" w:hAnsiTheme="majorHAnsi" w:cstheme="majorHAnsi"/>
                <w:sz w:val="18"/>
                <w:szCs w:val="18"/>
                <w:lang w:eastAsia="zh-CN"/>
              </w:rPr>
            </w:pPr>
            <w:r w:rsidRPr="00374C95">
              <w:rPr>
                <w:rFonts w:asciiTheme="majorHAnsi" w:hAnsiTheme="majorHAnsi" w:cstheme="majorHAnsi"/>
                <w:sz w:val="18"/>
                <w:szCs w:val="18"/>
                <w:lang w:eastAsia="zh-CN"/>
              </w:rPr>
              <w:t>1 bedroom</w:t>
            </w:r>
          </w:p>
        </w:tc>
        <w:tc>
          <w:tcPr>
            <w:tcW w:w="600" w:type="pct"/>
            <w:shd w:val="clear" w:color="auto" w:fill="auto"/>
            <w:noWrap/>
          </w:tcPr>
          <w:p w:rsidR="002C2D5C" w:rsidRPr="00374C95" w:rsidRDefault="001A112F" w:rsidP="00C378B2">
            <w:pPr>
              <w:spacing w:line="240" w:lineRule="auto"/>
              <w:jc w:val="both"/>
              <w:rPr>
                <w:rFonts w:asciiTheme="majorHAnsi" w:hAnsiTheme="majorHAnsi" w:cstheme="majorHAnsi"/>
                <w:sz w:val="18"/>
                <w:szCs w:val="18"/>
                <w:lang w:eastAsia="zh-CN"/>
              </w:rPr>
            </w:pPr>
            <w:r>
              <w:rPr>
                <w:rFonts w:asciiTheme="majorHAnsi" w:hAnsiTheme="majorHAnsi" w:cstheme="majorHAnsi"/>
                <w:sz w:val="18"/>
                <w:szCs w:val="18"/>
                <w:lang w:eastAsia="zh-CN"/>
              </w:rPr>
              <w:t>22</w:t>
            </w:r>
          </w:p>
        </w:tc>
        <w:tc>
          <w:tcPr>
            <w:tcW w:w="601" w:type="pct"/>
            <w:shd w:val="clear" w:color="auto" w:fill="auto"/>
            <w:noWrap/>
          </w:tcPr>
          <w:p w:rsidR="002C2D5C" w:rsidRPr="00374C95" w:rsidRDefault="001A112F" w:rsidP="00C378B2">
            <w:pPr>
              <w:spacing w:line="240" w:lineRule="auto"/>
              <w:jc w:val="both"/>
              <w:rPr>
                <w:rFonts w:asciiTheme="majorHAnsi" w:hAnsiTheme="majorHAnsi" w:cstheme="majorHAnsi"/>
                <w:sz w:val="18"/>
                <w:szCs w:val="18"/>
                <w:lang w:eastAsia="zh-CN"/>
              </w:rPr>
            </w:pPr>
            <w:r>
              <w:rPr>
                <w:rFonts w:asciiTheme="majorHAnsi" w:hAnsiTheme="majorHAnsi" w:cstheme="majorHAnsi"/>
                <w:sz w:val="18"/>
                <w:szCs w:val="18"/>
                <w:lang w:eastAsia="zh-CN"/>
              </w:rPr>
              <w:t>4.4%</w:t>
            </w:r>
          </w:p>
        </w:tc>
        <w:tc>
          <w:tcPr>
            <w:tcW w:w="600" w:type="pct"/>
            <w:shd w:val="clear" w:color="auto" w:fill="auto"/>
            <w:noWrap/>
          </w:tcPr>
          <w:p w:rsidR="002C2D5C" w:rsidRPr="00374C95" w:rsidRDefault="001A112F" w:rsidP="00C378B2">
            <w:pPr>
              <w:spacing w:line="240" w:lineRule="auto"/>
              <w:jc w:val="both"/>
              <w:rPr>
                <w:rFonts w:asciiTheme="majorHAnsi" w:hAnsiTheme="majorHAnsi" w:cstheme="majorHAnsi"/>
                <w:sz w:val="18"/>
                <w:szCs w:val="18"/>
                <w:lang w:eastAsia="zh-CN"/>
              </w:rPr>
            </w:pPr>
            <w:r>
              <w:rPr>
                <w:rFonts w:asciiTheme="majorHAnsi" w:hAnsiTheme="majorHAnsi" w:cstheme="majorHAnsi"/>
                <w:sz w:val="18"/>
                <w:szCs w:val="18"/>
                <w:lang w:eastAsia="zh-CN"/>
              </w:rPr>
              <w:t>2,635</w:t>
            </w:r>
          </w:p>
        </w:tc>
        <w:tc>
          <w:tcPr>
            <w:tcW w:w="601" w:type="pct"/>
            <w:shd w:val="clear" w:color="auto" w:fill="auto"/>
            <w:noWrap/>
          </w:tcPr>
          <w:p w:rsidR="002C2D5C" w:rsidRPr="00374C95" w:rsidRDefault="002672FD" w:rsidP="00C378B2">
            <w:pPr>
              <w:spacing w:line="240" w:lineRule="auto"/>
              <w:jc w:val="both"/>
              <w:rPr>
                <w:rFonts w:asciiTheme="majorHAnsi" w:hAnsiTheme="majorHAnsi" w:cstheme="majorHAnsi"/>
                <w:sz w:val="18"/>
                <w:szCs w:val="18"/>
                <w:lang w:eastAsia="zh-CN"/>
              </w:rPr>
            </w:pPr>
            <w:r>
              <w:rPr>
                <w:rFonts w:asciiTheme="majorHAnsi" w:hAnsiTheme="majorHAnsi" w:cstheme="majorHAnsi"/>
                <w:sz w:val="18"/>
                <w:szCs w:val="18"/>
                <w:lang w:eastAsia="zh-CN"/>
              </w:rPr>
              <w:t xml:space="preserve"> 4.9%</w:t>
            </w:r>
          </w:p>
        </w:tc>
        <w:tc>
          <w:tcPr>
            <w:tcW w:w="600" w:type="pct"/>
          </w:tcPr>
          <w:p w:rsidR="00032A65" w:rsidRPr="00032A65" w:rsidRDefault="00032A65" w:rsidP="00032A65">
            <w:pPr>
              <w:spacing w:before="0" w:after="0" w:line="240" w:lineRule="auto"/>
              <w:jc w:val="both"/>
              <w:rPr>
                <w:sz w:val="18"/>
                <w:szCs w:val="18"/>
              </w:rPr>
            </w:pPr>
            <w:r w:rsidRPr="00032A65">
              <w:rPr>
                <w:sz w:val="18"/>
                <w:szCs w:val="18"/>
              </w:rPr>
              <w:t>2,593,893</w:t>
            </w:r>
          </w:p>
          <w:p w:rsidR="002C2D5C" w:rsidRPr="00032A65" w:rsidRDefault="002C2D5C" w:rsidP="00C378B2">
            <w:pPr>
              <w:spacing w:line="240" w:lineRule="auto"/>
              <w:jc w:val="both"/>
              <w:rPr>
                <w:rFonts w:asciiTheme="majorHAnsi" w:hAnsiTheme="majorHAnsi" w:cstheme="majorHAnsi"/>
                <w:sz w:val="18"/>
                <w:szCs w:val="18"/>
                <w:lang w:eastAsia="zh-CN"/>
              </w:rPr>
            </w:pPr>
          </w:p>
        </w:tc>
        <w:tc>
          <w:tcPr>
            <w:tcW w:w="597" w:type="pct"/>
            <w:shd w:val="clear" w:color="auto" w:fill="auto"/>
            <w:noWrap/>
          </w:tcPr>
          <w:p w:rsidR="00032A65" w:rsidRPr="00032A65" w:rsidRDefault="00032A65" w:rsidP="00032A65">
            <w:pPr>
              <w:spacing w:before="0" w:after="0" w:line="240" w:lineRule="auto"/>
              <w:jc w:val="both"/>
              <w:rPr>
                <w:sz w:val="18"/>
                <w:szCs w:val="18"/>
              </w:rPr>
            </w:pPr>
            <w:r w:rsidRPr="00032A65">
              <w:rPr>
                <w:sz w:val="18"/>
                <w:szCs w:val="18"/>
              </w:rPr>
              <w:t>11.8%</w:t>
            </w:r>
          </w:p>
          <w:p w:rsidR="002C2D5C" w:rsidRPr="00032A65" w:rsidRDefault="002C2D5C" w:rsidP="00C378B2">
            <w:pPr>
              <w:spacing w:line="240" w:lineRule="auto"/>
              <w:jc w:val="both"/>
              <w:rPr>
                <w:rFonts w:asciiTheme="majorHAnsi" w:hAnsiTheme="majorHAnsi" w:cstheme="majorHAnsi"/>
                <w:sz w:val="18"/>
                <w:szCs w:val="18"/>
                <w:lang w:eastAsia="zh-CN"/>
              </w:rPr>
            </w:pPr>
          </w:p>
        </w:tc>
      </w:tr>
      <w:tr w:rsidR="002C2D5C" w:rsidRPr="00374C95" w:rsidTr="00C378B2">
        <w:trPr>
          <w:trHeight w:val="288"/>
        </w:trPr>
        <w:tc>
          <w:tcPr>
            <w:tcW w:w="1401" w:type="pct"/>
            <w:shd w:val="clear" w:color="auto" w:fill="auto"/>
            <w:noWrap/>
            <w:vAlign w:val="center"/>
            <w:hideMark/>
          </w:tcPr>
          <w:p w:rsidR="002C2D5C" w:rsidRPr="00374C95" w:rsidRDefault="002C2D5C" w:rsidP="00C378B2">
            <w:pPr>
              <w:spacing w:line="240" w:lineRule="auto"/>
              <w:jc w:val="both"/>
              <w:rPr>
                <w:rFonts w:asciiTheme="majorHAnsi" w:hAnsiTheme="majorHAnsi" w:cstheme="majorHAnsi"/>
                <w:sz w:val="18"/>
                <w:szCs w:val="18"/>
                <w:lang w:eastAsia="zh-CN"/>
              </w:rPr>
            </w:pPr>
            <w:r w:rsidRPr="00374C95">
              <w:rPr>
                <w:rFonts w:asciiTheme="majorHAnsi" w:hAnsiTheme="majorHAnsi" w:cstheme="majorHAnsi"/>
                <w:sz w:val="18"/>
                <w:szCs w:val="18"/>
                <w:lang w:eastAsia="zh-CN"/>
              </w:rPr>
              <w:t>2 bedrooms</w:t>
            </w:r>
          </w:p>
        </w:tc>
        <w:tc>
          <w:tcPr>
            <w:tcW w:w="600" w:type="pct"/>
            <w:shd w:val="clear" w:color="auto" w:fill="auto"/>
            <w:noWrap/>
          </w:tcPr>
          <w:p w:rsidR="002C2D5C" w:rsidRPr="00374C95" w:rsidRDefault="001A112F" w:rsidP="00C378B2">
            <w:pPr>
              <w:spacing w:line="240" w:lineRule="auto"/>
              <w:jc w:val="both"/>
              <w:rPr>
                <w:rFonts w:asciiTheme="majorHAnsi" w:hAnsiTheme="majorHAnsi" w:cstheme="majorHAnsi"/>
                <w:sz w:val="18"/>
                <w:szCs w:val="18"/>
                <w:lang w:eastAsia="zh-CN"/>
              </w:rPr>
            </w:pPr>
            <w:r>
              <w:rPr>
                <w:rFonts w:asciiTheme="majorHAnsi" w:hAnsiTheme="majorHAnsi" w:cstheme="majorHAnsi"/>
                <w:sz w:val="18"/>
                <w:szCs w:val="18"/>
                <w:lang w:eastAsia="zh-CN"/>
              </w:rPr>
              <w:t>132</w:t>
            </w:r>
          </w:p>
        </w:tc>
        <w:tc>
          <w:tcPr>
            <w:tcW w:w="601" w:type="pct"/>
            <w:shd w:val="clear" w:color="auto" w:fill="auto"/>
            <w:noWrap/>
          </w:tcPr>
          <w:p w:rsidR="002C2D5C" w:rsidRPr="00374C95" w:rsidRDefault="001A112F" w:rsidP="00C378B2">
            <w:pPr>
              <w:spacing w:line="240" w:lineRule="auto"/>
              <w:jc w:val="both"/>
              <w:rPr>
                <w:rFonts w:asciiTheme="majorHAnsi" w:hAnsiTheme="majorHAnsi" w:cstheme="majorHAnsi"/>
                <w:sz w:val="18"/>
                <w:szCs w:val="18"/>
                <w:lang w:eastAsia="zh-CN"/>
              </w:rPr>
            </w:pPr>
            <w:r>
              <w:rPr>
                <w:rFonts w:asciiTheme="majorHAnsi" w:hAnsiTheme="majorHAnsi" w:cstheme="majorHAnsi"/>
                <w:sz w:val="18"/>
                <w:szCs w:val="18"/>
                <w:lang w:eastAsia="zh-CN"/>
              </w:rPr>
              <w:t>26.1%</w:t>
            </w:r>
          </w:p>
        </w:tc>
        <w:tc>
          <w:tcPr>
            <w:tcW w:w="600" w:type="pct"/>
            <w:shd w:val="clear" w:color="auto" w:fill="auto"/>
            <w:noWrap/>
          </w:tcPr>
          <w:p w:rsidR="002C2D5C" w:rsidRPr="00374C95" w:rsidRDefault="00032A65" w:rsidP="00C378B2">
            <w:pPr>
              <w:spacing w:line="240" w:lineRule="auto"/>
              <w:jc w:val="both"/>
              <w:rPr>
                <w:rFonts w:asciiTheme="majorHAnsi" w:hAnsiTheme="majorHAnsi" w:cstheme="majorHAnsi"/>
                <w:sz w:val="18"/>
                <w:szCs w:val="18"/>
                <w:lang w:eastAsia="zh-CN"/>
              </w:rPr>
            </w:pPr>
            <w:r>
              <w:rPr>
                <w:rFonts w:asciiTheme="majorHAnsi" w:hAnsiTheme="majorHAnsi" w:cstheme="majorHAnsi"/>
                <w:sz w:val="18"/>
                <w:szCs w:val="18"/>
                <w:lang w:eastAsia="zh-CN"/>
              </w:rPr>
              <w:t>13,282</w:t>
            </w:r>
          </w:p>
        </w:tc>
        <w:tc>
          <w:tcPr>
            <w:tcW w:w="601" w:type="pct"/>
            <w:shd w:val="clear" w:color="auto" w:fill="auto"/>
            <w:noWrap/>
          </w:tcPr>
          <w:p w:rsidR="002C2D5C" w:rsidRPr="00374C95" w:rsidRDefault="002672FD" w:rsidP="00C378B2">
            <w:pPr>
              <w:spacing w:line="240" w:lineRule="auto"/>
              <w:jc w:val="both"/>
              <w:rPr>
                <w:rFonts w:asciiTheme="majorHAnsi" w:hAnsiTheme="majorHAnsi" w:cstheme="majorHAnsi"/>
                <w:sz w:val="18"/>
                <w:szCs w:val="18"/>
                <w:lang w:eastAsia="zh-CN"/>
              </w:rPr>
            </w:pPr>
            <w:r>
              <w:rPr>
                <w:rFonts w:asciiTheme="majorHAnsi" w:hAnsiTheme="majorHAnsi" w:cstheme="majorHAnsi"/>
                <w:sz w:val="18"/>
                <w:szCs w:val="18"/>
                <w:lang w:eastAsia="zh-CN"/>
              </w:rPr>
              <w:t xml:space="preserve"> 24.9%</w:t>
            </w:r>
          </w:p>
        </w:tc>
        <w:tc>
          <w:tcPr>
            <w:tcW w:w="600" w:type="pct"/>
          </w:tcPr>
          <w:p w:rsidR="00032A65" w:rsidRPr="00032A65" w:rsidRDefault="00032A65" w:rsidP="00032A65">
            <w:pPr>
              <w:spacing w:before="0" w:after="0" w:line="240" w:lineRule="auto"/>
              <w:jc w:val="both"/>
              <w:rPr>
                <w:sz w:val="18"/>
                <w:szCs w:val="18"/>
              </w:rPr>
            </w:pPr>
            <w:r w:rsidRPr="00032A65">
              <w:rPr>
                <w:sz w:val="18"/>
                <w:szCs w:val="18"/>
              </w:rPr>
              <w:t>6,145,083</w:t>
            </w:r>
          </w:p>
          <w:p w:rsidR="002C2D5C" w:rsidRPr="00032A65" w:rsidRDefault="002C2D5C" w:rsidP="00C378B2">
            <w:pPr>
              <w:spacing w:line="240" w:lineRule="auto"/>
              <w:jc w:val="both"/>
              <w:rPr>
                <w:rFonts w:asciiTheme="majorHAnsi" w:hAnsiTheme="majorHAnsi" w:cstheme="majorHAnsi"/>
                <w:sz w:val="18"/>
                <w:szCs w:val="18"/>
                <w:lang w:eastAsia="zh-CN"/>
              </w:rPr>
            </w:pPr>
          </w:p>
        </w:tc>
        <w:tc>
          <w:tcPr>
            <w:tcW w:w="597" w:type="pct"/>
            <w:shd w:val="clear" w:color="auto" w:fill="auto"/>
            <w:noWrap/>
          </w:tcPr>
          <w:p w:rsidR="00032A65" w:rsidRPr="00032A65" w:rsidRDefault="00032A65" w:rsidP="00032A65">
            <w:pPr>
              <w:spacing w:before="0" w:after="0" w:line="240" w:lineRule="auto"/>
              <w:jc w:val="both"/>
              <w:rPr>
                <w:sz w:val="18"/>
                <w:szCs w:val="18"/>
              </w:rPr>
            </w:pPr>
            <w:r w:rsidRPr="00032A65">
              <w:rPr>
                <w:sz w:val="18"/>
                <w:szCs w:val="18"/>
              </w:rPr>
              <w:t>27.9%</w:t>
            </w:r>
          </w:p>
          <w:p w:rsidR="002C2D5C" w:rsidRPr="00032A65" w:rsidRDefault="002C2D5C" w:rsidP="00C378B2">
            <w:pPr>
              <w:spacing w:line="240" w:lineRule="auto"/>
              <w:jc w:val="both"/>
              <w:rPr>
                <w:rFonts w:asciiTheme="majorHAnsi" w:hAnsiTheme="majorHAnsi" w:cstheme="majorHAnsi"/>
                <w:sz w:val="18"/>
                <w:szCs w:val="18"/>
                <w:lang w:eastAsia="zh-CN"/>
              </w:rPr>
            </w:pPr>
          </w:p>
        </w:tc>
      </w:tr>
      <w:tr w:rsidR="002C2D5C" w:rsidRPr="00374C95" w:rsidTr="00C378B2">
        <w:trPr>
          <w:trHeight w:val="288"/>
        </w:trPr>
        <w:tc>
          <w:tcPr>
            <w:tcW w:w="1401" w:type="pct"/>
            <w:shd w:val="clear" w:color="auto" w:fill="auto"/>
            <w:noWrap/>
            <w:vAlign w:val="center"/>
            <w:hideMark/>
          </w:tcPr>
          <w:p w:rsidR="002C2D5C" w:rsidRPr="00374C95" w:rsidRDefault="002C2D5C" w:rsidP="00C378B2">
            <w:pPr>
              <w:spacing w:line="240" w:lineRule="auto"/>
              <w:jc w:val="both"/>
              <w:rPr>
                <w:rFonts w:asciiTheme="majorHAnsi" w:hAnsiTheme="majorHAnsi" w:cstheme="majorHAnsi"/>
                <w:sz w:val="18"/>
                <w:szCs w:val="18"/>
                <w:lang w:eastAsia="zh-CN"/>
              </w:rPr>
            </w:pPr>
            <w:r w:rsidRPr="00374C95">
              <w:rPr>
                <w:rFonts w:asciiTheme="majorHAnsi" w:hAnsiTheme="majorHAnsi" w:cstheme="majorHAnsi"/>
                <w:sz w:val="18"/>
                <w:szCs w:val="18"/>
                <w:lang w:eastAsia="zh-CN"/>
              </w:rPr>
              <w:t>3 bedrooms</w:t>
            </w:r>
          </w:p>
        </w:tc>
        <w:tc>
          <w:tcPr>
            <w:tcW w:w="600" w:type="pct"/>
            <w:shd w:val="clear" w:color="auto" w:fill="auto"/>
            <w:noWrap/>
          </w:tcPr>
          <w:p w:rsidR="002C2D5C" w:rsidRPr="00374C95" w:rsidRDefault="001A112F" w:rsidP="00C378B2">
            <w:pPr>
              <w:spacing w:line="240" w:lineRule="auto"/>
              <w:jc w:val="both"/>
              <w:rPr>
                <w:rFonts w:asciiTheme="majorHAnsi" w:hAnsiTheme="majorHAnsi" w:cstheme="majorHAnsi"/>
                <w:sz w:val="18"/>
                <w:szCs w:val="18"/>
                <w:lang w:eastAsia="zh-CN"/>
              </w:rPr>
            </w:pPr>
            <w:r>
              <w:rPr>
                <w:rFonts w:asciiTheme="majorHAnsi" w:hAnsiTheme="majorHAnsi" w:cstheme="majorHAnsi"/>
                <w:sz w:val="18"/>
                <w:szCs w:val="18"/>
                <w:lang w:eastAsia="zh-CN"/>
              </w:rPr>
              <w:t>239</w:t>
            </w:r>
          </w:p>
        </w:tc>
        <w:tc>
          <w:tcPr>
            <w:tcW w:w="601" w:type="pct"/>
            <w:shd w:val="clear" w:color="auto" w:fill="auto"/>
            <w:noWrap/>
          </w:tcPr>
          <w:p w:rsidR="002C2D5C" w:rsidRPr="00374C95" w:rsidRDefault="001A112F" w:rsidP="00C378B2">
            <w:pPr>
              <w:spacing w:line="240" w:lineRule="auto"/>
              <w:jc w:val="both"/>
              <w:rPr>
                <w:rFonts w:asciiTheme="majorHAnsi" w:hAnsiTheme="majorHAnsi" w:cstheme="majorHAnsi"/>
                <w:sz w:val="18"/>
                <w:szCs w:val="18"/>
                <w:lang w:eastAsia="zh-CN"/>
              </w:rPr>
            </w:pPr>
            <w:r>
              <w:rPr>
                <w:rFonts w:asciiTheme="majorHAnsi" w:hAnsiTheme="majorHAnsi" w:cstheme="majorHAnsi"/>
                <w:sz w:val="18"/>
                <w:szCs w:val="18"/>
                <w:lang w:eastAsia="zh-CN"/>
              </w:rPr>
              <w:t>47.3%</w:t>
            </w:r>
          </w:p>
        </w:tc>
        <w:tc>
          <w:tcPr>
            <w:tcW w:w="600" w:type="pct"/>
            <w:shd w:val="clear" w:color="auto" w:fill="auto"/>
            <w:noWrap/>
          </w:tcPr>
          <w:p w:rsidR="002C2D5C" w:rsidRPr="00374C95" w:rsidRDefault="00032A65" w:rsidP="00C378B2">
            <w:pPr>
              <w:spacing w:line="240" w:lineRule="auto"/>
              <w:jc w:val="both"/>
              <w:rPr>
                <w:rFonts w:asciiTheme="majorHAnsi" w:hAnsiTheme="majorHAnsi" w:cstheme="majorHAnsi"/>
                <w:sz w:val="18"/>
                <w:szCs w:val="18"/>
                <w:lang w:eastAsia="zh-CN"/>
              </w:rPr>
            </w:pPr>
            <w:r>
              <w:rPr>
                <w:rFonts w:asciiTheme="majorHAnsi" w:hAnsiTheme="majorHAnsi" w:cstheme="majorHAnsi"/>
                <w:sz w:val="18"/>
                <w:szCs w:val="18"/>
                <w:lang w:eastAsia="zh-CN"/>
              </w:rPr>
              <w:t>24,134</w:t>
            </w:r>
          </w:p>
        </w:tc>
        <w:tc>
          <w:tcPr>
            <w:tcW w:w="601" w:type="pct"/>
            <w:shd w:val="clear" w:color="auto" w:fill="auto"/>
            <w:noWrap/>
          </w:tcPr>
          <w:p w:rsidR="002C2D5C" w:rsidRPr="00374C95" w:rsidRDefault="002672FD" w:rsidP="00C378B2">
            <w:pPr>
              <w:spacing w:line="240" w:lineRule="auto"/>
              <w:jc w:val="both"/>
              <w:rPr>
                <w:rFonts w:asciiTheme="majorHAnsi" w:hAnsiTheme="majorHAnsi" w:cstheme="majorHAnsi"/>
                <w:sz w:val="18"/>
                <w:szCs w:val="18"/>
                <w:lang w:eastAsia="zh-CN"/>
              </w:rPr>
            </w:pPr>
            <w:r>
              <w:rPr>
                <w:rFonts w:asciiTheme="majorHAnsi" w:hAnsiTheme="majorHAnsi" w:cstheme="majorHAnsi"/>
                <w:sz w:val="18"/>
                <w:szCs w:val="18"/>
                <w:lang w:eastAsia="zh-CN"/>
              </w:rPr>
              <w:t xml:space="preserve"> 45.2%</w:t>
            </w:r>
          </w:p>
        </w:tc>
        <w:tc>
          <w:tcPr>
            <w:tcW w:w="600" w:type="pct"/>
          </w:tcPr>
          <w:p w:rsidR="00032A65" w:rsidRPr="00032A65" w:rsidRDefault="00032A65" w:rsidP="00032A65">
            <w:pPr>
              <w:spacing w:before="0" w:after="0" w:line="240" w:lineRule="auto"/>
              <w:jc w:val="both"/>
              <w:rPr>
                <w:sz w:val="18"/>
                <w:szCs w:val="18"/>
              </w:rPr>
            </w:pPr>
            <w:r w:rsidRPr="00032A65">
              <w:rPr>
                <w:sz w:val="18"/>
                <w:szCs w:val="18"/>
              </w:rPr>
              <w:t>9,088,213</w:t>
            </w:r>
          </w:p>
          <w:p w:rsidR="002C2D5C" w:rsidRPr="00032A65" w:rsidRDefault="002C2D5C" w:rsidP="00C378B2">
            <w:pPr>
              <w:spacing w:line="240" w:lineRule="auto"/>
              <w:jc w:val="both"/>
              <w:rPr>
                <w:rFonts w:asciiTheme="majorHAnsi" w:hAnsiTheme="majorHAnsi" w:cstheme="majorHAnsi"/>
                <w:sz w:val="18"/>
                <w:szCs w:val="18"/>
                <w:lang w:eastAsia="zh-CN"/>
              </w:rPr>
            </w:pPr>
          </w:p>
        </w:tc>
        <w:tc>
          <w:tcPr>
            <w:tcW w:w="597" w:type="pct"/>
            <w:shd w:val="clear" w:color="auto" w:fill="auto"/>
            <w:noWrap/>
          </w:tcPr>
          <w:p w:rsidR="00032A65" w:rsidRPr="00032A65" w:rsidRDefault="00032A65" w:rsidP="00032A65">
            <w:pPr>
              <w:spacing w:before="0" w:after="0" w:line="240" w:lineRule="auto"/>
              <w:jc w:val="both"/>
              <w:rPr>
                <w:sz w:val="18"/>
                <w:szCs w:val="18"/>
              </w:rPr>
            </w:pPr>
            <w:r w:rsidRPr="00032A65">
              <w:rPr>
                <w:sz w:val="18"/>
                <w:szCs w:val="18"/>
              </w:rPr>
              <w:t>41.2%</w:t>
            </w:r>
          </w:p>
          <w:p w:rsidR="002C2D5C" w:rsidRPr="00032A65" w:rsidRDefault="002C2D5C" w:rsidP="00C378B2">
            <w:pPr>
              <w:spacing w:line="240" w:lineRule="auto"/>
              <w:jc w:val="both"/>
              <w:rPr>
                <w:rFonts w:asciiTheme="majorHAnsi" w:hAnsiTheme="majorHAnsi" w:cstheme="majorHAnsi"/>
                <w:sz w:val="18"/>
                <w:szCs w:val="18"/>
                <w:lang w:eastAsia="zh-CN"/>
              </w:rPr>
            </w:pPr>
          </w:p>
        </w:tc>
      </w:tr>
      <w:tr w:rsidR="002C2D5C" w:rsidRPr="00374C95" w:rsidTr="00C378B2">
        <w:trPr>
          <w:trHeight w:val="288"/>
        </w:trPr>
        <w:tc>
          <w:tcPr>
            <w:tcW w:w="1401" w:type="pct"/>
            <w:shd w:val="clear" w:color="auto" w:fill="auto"/>
            <w:noWrap/>
            <w:vAlign w:val="center"/>
            <w:hideMark/>
          </w:tcPr>
          <w:p w:rsidR="002C2D5C" w:rsidRPr="00374C95" w:rsidRDefault="002C2D5C" w:rsidP="00C378B2">
            <w:pPr>
              <w:spacing w:line="240" w:lineRule="auto"/>
              <w:jc w:val="both"/>
              <w:rPr>
                <w:rFonts w:asciiTheme="majorHAnsi" w:hAnsiTheme="majorHAnsi" w:cstheme="majorHAnsi"/>
                <w:sz w:val="18"/>
                <w:szCs w:val="18"/>
                <w:lang w:eastAsia="zh-CN"/>
              </w:rPr>
            </w:pPr>
            <w:r w:rsidRPr="00374C95">
              <w:rPr>
                <w:rFonts w:asciiTheme="majorHAnsi" w:hAnsiTheme="majorHAnsi" w:cstheme="majorHAnsi"/>
                <w:sz w:val="18"/>
                <w:szCs w:val="18"/>
                <w:lang w:eastAsia="zh-CN"/>
              </w:rPr>
              <w:t>4 bedrooms</w:t>
            </w:r>
          </w:p>
        </w:tc>
        <w:tc>
          <w:tcPr>
            <w:tcW w:w="600" w:type="pct"/>
            <w:shd w:val="clear" w:color="auto" w:fill="auto"/>
            <w:noWrap/>
          </w:tcPr>
          <w:p w:rsidR="002C2D5C" w:rsidRPr="00374C95" w:rsidRDefault="001A112F" w:rsidP="00C378B2">
            <w:pPr>
              <w:spacing w:line="240" w:lineRule="auto"/>
              <w:jc w:val="both"/>
              <w:rPr>
                <w:rFonts w:asciiTheme="majorHAnsi" w:hAnsiTheme="majorHAnsi" w:cstheme="majorHAnsi"/>
                <w:sz w:val="18"/>
                <w:szCs w:val="18"/>
                <w:lang w:eastAsia="zh-CN"/>
              </w:rPr>
            </w:pPr>
            <w:r>
              <w:rPr>
                <w:rFonts w:asciiTheme="majorHAnsi" w:hAnsiTheme="majorHAnsi" w:cstheme="majorHAnsi"/>
                <w:sz w:val="18"/>
                <w:szCs w:val="18"/>
                <w:lang w:eastAsia="zh-CN"/>
              </w:rPr>
              <w:t>91</w:t>
            </w:r>
          </w:p>
        </w:tc>
        <w:tc>
          <w:tcPr>
            <w:tcW w:w="601" w:type="pct"/>
            <w:shd w:val="clear" w:color="auto" w:fill="auto"/>
            <w:noWrap/>
          </w:tcPr>
          <w:p w:rsidR="002C2D5C" w:rsidRPr="00374C95" w:rsidRDefault="001A112F" w:rsidP="00C378B2">
            <w:pPr>
              <w:spacing w:line="240" w:lineRule="auto"/>
              <w:jc w:val="both"/>
              <w:rPr>
                <w:rFonts w:asciiTheme="majorHAnsi" w:hAnsiTheme="majorHAnsi" w:cstheme="majorHAnsi"/>
                <w:sz w:val="18"/>
                <w:szCs w:val="18"/>
                <w:lang w:eastAsia="zh-CN"/>
              </w:rPr>
            </w:pPr>
            <w:r>
              <w:rPr>
                <w:rFonts w:asciiTheme="majorHAnsi" w:hAnsiTheme="majorHAnsi" w:cstheme="majorHAnsi"/>
                <w:sz w:val="18"/>
                <w:szCs w:val="18"/>
                <w:lang w:eastAsia="zh-CN"/>
              </w:rPr>
              <w:t>18.0%</w:t>
            </w:r>
          </w:p>
        </w:tc>
        <w:tc>
          <w:tcPr>
            <w:tcW w:w="600" w:type="pct"/>
            <w:shd w:val="clear" w:color="auto" w:fill="auto"/>
            <w:noWrap/>
          </w:tcPr>
          <w:p w:rsidR="002C2D5C" w:rsidRPr="00374C95" w:rsidRDefault="00032A65" w:rsidP="00C378B2">
            <w:pPr>
              <w:spacing w:line="240" w:lineRule="auto"/>
              <w:jc w:val="both"/>
              <w:rPr>
                <w:rFonts w:asciiTheme="majorHAnsi" w:hAnsiTheme="majorHAnsi" w:cstheme="majorHAnsi"/>
                <w:sz w:val="18"/>
                <w:szCs w:val="18"/>
                <w:lang w:eastAsia="zh-CN"/>
              </w:rPr>
            </w:pPr>
            <w:r>
              <w:rPr>
                <w:rFonts w:asciiTheme="majorHAnsi" w:hAnsiTheme="majorHAnsi" w:cstheme="majorHAnsi"/>
                <w:sz w:val="18"/>
                <w:szCs w:val="18"/>
                <w:lang w:eastAsia="zh-CN"/>
              </w:rPr>
              <w:t>10,675</w:t>
            </w:r>
          </w:p>
        </w:tc>
        <w:tc>
          <w:tcPr>
            <w:tcW w:w="601" w:type="pct"/>
            <w:shd w:val="clear" w:color="auto" w:fill="auto"/>
            <w:noWrap/>
          </w:tcPr>
          <w:p w:rsidR="002C2D5C" w:rsidRPr="00374C95" w:rsidRDefault="002672FD" w:rsidP="00C378B2">
            <w:pPr>
              <w:spacing w:line="240" w:lineRule="auto"/>
              <w:jc w:val="both"/>
              <w:rPr>
                <w:rFonts w:asciiTheme="majorHAnsi" w:hAnsiTheme="majorHAnsi" w:cstheme="majorHAnsi"/>
                <w:sz w:val="18"/>
                <w:szCs w:val="18"/>
                <w:lang w:eastAsia="zh-CN"/>
              </w:rPr>
            </w:pPr>
            <w:r>
              <w:rPr>
                <w:rFonts w:asciiTheme="majorHAnsi" w:hAnsiTheme="majorHAnsi" w:cstheme="majorHAnsi"/>
                <w:sz w:val="18"/>
                <w:szCs w:val="18"/>
                <w:lang w:eastAsia="zh-CN"/>
              </w:rPr>
              <w:t xml:space="preserve"> 20.0%</w:t>
            </w:r>
          </w:p>
        </w:tc>
        <w:tc>
          <w:tcPr>
            <w:tcW w:w="600" w:type="pct"/>
          </w:tcPr>
          <w:p w:rsidR="00032A65" w:rsidRPr="00032A65" w:rsidRDefault="00032A65" w:rsidP="00032A65">
            <w:pPr>
              <w:spacing w:before="0" w:after="0" w:line="240" w:lineRule="auto"/>
              <w:jc w:val="both"/>
              <w:rPr>
                <w:sz w:val="18"/>
                <w:szCs w:val="18"/>
              </w:rPr>
            </w:pPr>
            <w:r w:rsidRPr="00032A65">
              <w:rPr>
                <w:sz w:val="18"/>
                <w:szCs w:val="18"/>
              </w:rPr>
              <w:t>3,166,531</w:t>
            </w:r>
          </w:p>
          <w:p w:rsidR="002C2D5C" w:rsidRPr="00032A65" w:rsidRDefault="002C2D5C" w:rsidP="00C378B2">
            <w:pPr>
              <w:spacing w:line="240" w:lineRule="auto"/>
              <w:jc w:val="both"/>
              <w:rPr>
                <w:rFonts w:asciiTheme="majorHAnsi" w:hAnsiTheme="majorHAnsi" w:cstheme="majorHAnsi"/>
                <w:sz w:val="18"/>
                <w:szCs w:val="18"/>
                <w:lang w:eastAsia="zh-CN"/>
              </w:rPr>
            </w:pPr>
          </w:p>
        </w:tc>
        <w:tc>
          <w:tcPr>
            <w:tcW w:w="597" w:type="pct"/>
            <w:shd w:val="clear" w:color="auto" w:fill="auto"/>
            <w:noWrap/>
          </w:tcPr>
          <w:p w:rsidR="00032A65" w:rsidRPr="00032A65" w:rsidRDefault="00032A65" w:rsidP="00032A65">
            <w:pPr>
              <w:spacing w:before="0" w:after="0" w:line="240" w:lineRule="auto"/>
              <w:jc w:val="both"/>
              <w:rPr>
                <w:sz w:val="18"/>
                <w:szCs w:val="18"/>
              </w:rPr>
            </w:pPr>
            <w:r w:rsidRPr="00032A65">
              <w:rPr>
                <w:sz w:val="18"/>
                <w:szCs w:val="18"/>
              </w:rPr>
              <w:t>14.4%</w:t>
            </w:r>
          </w:p>
          <w:p w:rsidR="002C2D5C" w:rsidRPr="00032A65" w:rsidRDefault="002C2D5C" w:rsidP="00C378B2">
            <w:pPr>
              <w:spacing w:line="240" w:lineRule="auto"/>
              <w:jc w:val="both"/>
              <w:rPr>
                <w:rFonts w:asciiTheme="majorHAnsi" w:hAnsiTheme="majorHAnsi" w:cstheme="majorHAnsi"/>
                <w:sz w:val="18"/>
                <w:szCs w:val="18"/>
                <w:lang w:eastAsia="zh-CN"/>
              </w:rPr>
            </w:pPr>
          </w:p>
        </w:tc>
      </w:tr>
      <w:tr w:rsidR="002C2D5C" w:rsidRPr="00374C95" w:rsidTr="00C378B2">
        <w:trPr>
          <w:trHeight w:val="288"/>
        </w:trPr>
        <w:tc>
          <w:tcPr>
            <w:tcW w:w="1401" w:type="pct"/>
            <w:shd w:val="clear" w:color="auto" w:fill="auto"/>
            <w:noWrap/>
            <w:vAlign w:val="center"/>
            <w:hideMark/>
          </w:tcPr>
          <w:p w:rsidR="002C2D5C" w:rsidRPr="00374C95" w:rsidRDefault="002C2D5C" w:rsidP="00C378B2">
            <w:pPr>
              <w:spacing w:line="240" w:lineRule="auto"/>
              <w:jc w:val="both"/>
              <w:rPr>
                <w:rFonts w:asciiTheme="majorHAnsi" w:hAnsiTheme="majorHAnsi" w:cstheme="majorHAnsi"/>
                <w:sz w:val="18"/>
                <w:szCs w:val="18"/>
                <w:lang w:eastAsia="zh-CN"/>
              </w:rPr>
            </w:pPr>
            <w:r w:rsidRPr="00374C95">
              <w:rPr>
                <w:rFonts w:asciiTheme="majorHAnsi" w:hAnsiTheme="majorHAnsi" w:cstheme="majorHAnsi"/>
                <w:sz w:val="18"/>
                <w:szCs w:val="18"/>
                <w:lang w:eastAsia="zh-CN"/>
              </w:rPr>
              <w:t>5 or more bedrooms</w:t>
            </w:r>
          </w:p>
        </w:tc>
        <w:tc>
          <w:tcPr>
            <w:tcW w:w="600" w:type="pct"/>
            <w:shd w:val="clear" w:color="auto" w:fill="auto"/>
            <w:noWrap/>
          </w:tcPr>
          <w:p w:rsidR="002C2D5C" w:rsidRPr="00374C95" w:rsidRDefault="001A112F" w:rsidP="00C378B2">
            <w:pPr>
              <w:spacing w:line="240" w:lineRule="auto"/>
              <w:jc w:val="both"/>
              <w:rPr>
                <w:rFonts w:asciiTheme="majorHAnsi" w:hAnsiTheme="majorHAnsi" w:cstheme="majorHAnsi"/>
                <w:sz w:val="18"/>
                <w:szCs w:val="18"/>
                <w:lang w:eastAsia="zh-CN"/>
              </w:rPr>
            </w:pPr>
            <w:r>
              <w:rPr>
                <w:rFonts w:asciiTheme="majorHAnsi" w:hAnsiTheme="majorHAnsi" w:cstheme="majorHAnsi"/>
                <w:sz w:val="18"/>
                <w:szCs w:val="18"/>
                <w:lang w:eastAsia="zh-CN"/>
              </w:rPr>
              <w:t>21</w:t>
            </w:r>
          </w:p>
        </w:tc>
        <w:tc>
          <w:tcPr>
            <w:tcW w:w="601" w:type="pct"/>
            <w:shd w:val="clear" w:color="auto" w:fill="auto"/>
            <w:noWrap/>
          </w:tcPr>
          <w:p w:rsidR="002C2D5C" w:rsidRPr="00374C95" w:rsidRDefault="001A112F" w:rsidP="00C378B2">
            <w:pPr>
              <w:spacing w:line="240" w:lineRule="auto"/>
              <w:jc w:val="both"/>
              <w:rPr>
                <w:rFonts w:asciiTheme="majorHAnsi" w:hAnsiTheme="majorHAnsi" w:cstheme="majorHAnsi"/>
                <w:sz w:val="18"/>
                <w:szCs w:val="18"/>
                <w:lang w:eastAsia="zh-CN"/>
              </w:rPr>
            </w:pPr>
            <w:r>
              <w:rPr>
                <w:rFonts w:asciiTheme="majorHAnsi" w:hAnsiTheme="majorHAnsi" w:cstheme="majorHAnsi"/>
                <w:sz w:val="18"/>
                <w:szCs w:val="18"/>
                <w:lang w:eastAsia="zh-CN"/>
              </w:rPr>
              <w:t>4.2%</w:t>
            </w:r>
          </w:p>
        </w:tc>
        <w:tc>
          <w:tcPr>
            <w:tcW w:w="600" w:type="pct"/>
            <w:shd w:val="clear" w:color="auto" w:fill="auto"/>
            <w:noWrap/>
          </w:tcPr>
          <w:p w:rsidR="002C2D5C" w:rsidRPr="00374C95" w:rsidRDefault="00032A65" w:rsidP="00C378B2">
            <w:pPr>
              <w:spacing w:line="240" w:lineRule="auto"/>
              <w:jc w:val="both"/>
              <w:rPr>
                <w:rFonts w:asciiTheme="majorHAnsi" w:hAnsiTheme="majorHAnsi" w:cstheme="majorHAnsi"/>
                <w:sz w:val="18"/>
                <w:szCs w:val="18"/>
                <w:lang w:eastAsia="zh-CN"/>
              </w:rPr>
            </w:pPr>
            <w:r>
              <w:rPr>
                <w:rFonts w:asciiTheme="majorHAnsi" w:hAnsiTheme="majorHAnsi" w:cstheme="majorHAnsi"/>
                <w:sz w:val="18"/>
                <w:szCs w:val="18"/>
                <w:lang w:eastAsia="zh-CN"/>
              </w:rPr>
              <w:t>2,553</w:t>
            </w:r>
          </w:p>
        </w:tc>
        <w:tc>
          <w:tcPr>
            <w:tcW w:w="601" w:type="pct"/>
            <w:shd w:val="clear" w:color="auto" w:fill="auto"/>
            <w:noWrap/>
          </w:tcPr>
          <w:p w:rsidR="002C2D5C" w:rsidRPr="00374C95" w:rsidRDefault="002672FD" w:rsidP="00C378B2">
            <w:pPr>
              <w:spacing w:line="240" w:lineRule="auto"/>
              <w:jc w:val="both"/>
              <w:rPr>
                <w:rFonts w:asciiTheme="majorHAnsi" w:hAnsiTheme="majorHAnsi" w:cstheme="majorHAnsi"/>
                <w:sz w:val="18"/>
                <w:szCs w:val="18"/>
                <w:lang w:eastAsia="zh-CN"/>
              </w:rPr>
            </w:pPr>
            <w:r>
              <w:rPr>
                <w:rFonts w:asciiTheme="majorHAnsi" w:hAnsiTheme="majorHAnsi" w:cstheme="majorHAnsi"/>
                <w:sz w:val="18"/>
                <w:szCs w:val="18"/>
                <w:lang w:eastAsia="zh-CN"/>
              </w:rPr>
              <w:t xml:space="preserve"> 4.8%</w:t>
            </w:r>
          </w:p>
        </w:tc>
        <w:tc>
          <w:tcPr>
            <w:tcW w:w="600" w:type="pct"/>
          </w:tcPr>
          <w:p w:rsidR="00032A65" w:rsidRPr="00032A65" w:rsidRDefault="00032A65" w:rsidP="00032A65">
            <w:pPr>
              <w:spacing w:before="0" w:after="0" w:line="240" w:lineRule="auto"/>
              <w:jc w:val="both"/>
              <w:rPr>
                <w:sz w:val="18"/>
                <w:szCs w:val="18"/>
              </w:rPr>
            </w:pPr>
            <w:r w:rsidRPr="00032A65">
              <w:rPr>
                <w:sz w:val="18"/>
                <w:szCs w:val="18"/>
              </w:rPr>
              <w:t>1,014,710</w:t>
            </w:r>
          </w:p>
          <w:p w:rsidR="002C2D5C" w:rsidRPr="00032A65" w:rsidRDefault="002C2D5C" w:rsidP="00C378B2">
            <w:pPr>
              <w:spacing w:line="240" w:lineRule="auto"/>
              <w:jc w:val="both"/>
              <w:rPr>
                <w:rFonts w:asciiTheme="majorHAnsi" w:hAnsiTheme="majorHAnsi" w:cstheme="majorHAnsi"/>
                <w:sz w:val="18"/>
                <w:szCs w:val="18"/>
                <w:lang w:eastAsia="zh-CN"/>
              </w:rPr>
            </w:pPr>
          </w:p>
        </w:tc>
        <w:tc>
          <w:tcPr>
            <w:tcW w:w="597" w:type="pct"/>
            <w:shd w:val="clear" w:color="auto" w:fill="auto"/>
            <w:noWrap/>
          </w:tcPr>
          <w:p w:rsidR="00032A65" w:rsidRPr="00032A65" w:rsidRDefault="00032A65" w:rsidP="00032A65">
            <w:pPr>
              <w:spacing w:before="0" w:after="0" w:line="240" w:lineRule="auto"/>
              <w:jc w:val="both"/>
              <w:rPr>
                <w:sz w:val="18"/>
                <w:szCs w:val="18"/>
              </w:rPr>
            </w:pPr>
            <w:r w:rsidRPr="00032A65">
              <w:rPr>
                <w:sz w:val="18"/>
                <w:szCs w:val="18"/>
              </w:rPr>
              <w:t>4.6%</w:t>
            </w:r>
          </w:p>
          <w:p w:rsidR="002C2D5C" w:rsidRPr="00032A65" w:rsidRDefault="002C2D5C" w:rsidP="00C378B2">
            <w:pPr>
              <w:spacing w:line="240" w:lineRule="auto"/>
              <w:jc w:val="both"/>
              <w:rPr>
                <w:rFonts w:asciiTheme="majorHAnsi" w:hAnsiTheme="majorHAnsi" w:cstheme="majorHAnsi"/>
                <w:sz w:val="18"/>
                <w:szCs w:val="18"/>
                <w:lang w:eastAsia="zh-CN"/>
              </w:rPr>
            </w:pPr>
          </w:p>
        </w:tc>
      </w:tr>
    </w:tbl>
    <w:p w:rsidR="002C2D5C" w:rsidRPr="00BB2C77" w:rsidRDefault="002C2D5C" w:rsidP="002C2D5C">
      <w:pPr>
        <w:pStyle w:val="Source"/>
        <w:jc w:val="both"/>
        <w:rPr>
          <w:lang w:val="en-GB"/>
        </w:rPr>
      </w:pPr>
      <w:r w:rsidRPr="00BB2C77">
        <w:rPr>
          <w:lang w:val="en-GB"/>
        </w:rPr>
        <w:t>Source: ONS 2011, AECOM Calculations</w:t>
      </w:r>
    </w:p>
    <w:p w:rsidR="002C2D5C" w:rsidRPr="003A5666" w:rsidRDefault="002C2D5C" w:rsidP="002C2D5C">
      <w:pPr>
        <w:pStyle w:val="Heading2"/>
        <w:jc w:val="both"/>
      </w:pPr>
      <w:bookmarkStart w:id="111" w:name="_Toc4428640"/>
      <w:bookmarkStart w:id="112" w:name="_Toc33015867"/>
      <w:r w:rsidRPr="003A5666">
        <w:t>Household composition and age structure</w:t>
      </w:r>
      <w:bookmarkEnd w:id="108"/>
      <w:bookmarkEnd w:id="109"/>
      <w:bookmarkEnd w:id="111"/>
      <w:bookmarkEnd w:id="112"/>
    </w:p>
    <w:p w:rsidR="002C2D5C" w:rsidRPr="00764D07" w:rsidRDefault="00915935" w:rsidP="002C2D5C">
      <w:pPr>
        <w:pStyle w:val="ListNumber"/>
        <w:spacing w:before="0"/>
        <w:jc w:val="both"/>
        <w:rPr>
          <w:sz w:val="18"/>
          <w:szCs w:val="18"/>
          <w:lang w:val="en-GB"/>
        </w:rPr>
      </w:pPr>
      <w:r>
        <w:rPr>
          <w:sz w:val="18"/>
          <w:szCs w:val="18"/>
          <w:lang w:val="en-GB"/>
        </w:rPr>
        <w:t>Having</w:t>
      </w:r>
      <w:r w:rsidR="00764D07" w:rsidRPr="00764D07">
        <w:rPr>
          <w:sz w:val="18"/>
          <w:szCs w:val="18"/>
          <w:lang w:val="en-GB"/>
        </w:rPr>
        <w:t xml:space="preserve"> </w:t>
      </w:r>
      <w:r w:rsidR="002C2D5C" w:rsidRPr="00764D07">
        <w:rPr>
          <w:sz w:val="18"/>
          <w:szCs w:val="18"/>
          <w:lang w:val="en-GB"/>
        </w:rPr>
        <w:t xml:space="preserve">established the current stock profile of </w:t>
      </w:r>
      <w:r w:rsidR="00DA6CC1">
        <w:rPr>
          <w:sz w:val="18"/>
          <w:szCs w:val="18"/>
          <w:lang w:val="en-GB"/>
        </w:rPr>
        <w:t>Reedham</w:t>
      </w:r>
      <w:r w:rsidR="002C2D5C" w:rsidRPr="00764D07">
        <w:rPr>
          <w:sz w:val="18"/>
          <w:szCs w:val="18"/>
          <w:lang w:val="en-GB"/>
        </w:rPr>
        <w:t xml:space="preserve"> and identified recent changes in its composition</w:t>
      </w:r>
      <w:r>
        <w:rPr>
          <w:sz w:val="18"/>
          <w:szCs w:val="18"/>
          <w:lang w:val="en-GB"/>
        </w:rPr>
        <w:t>,</w:t>
      </w:r>
      <w:r w:rsidR="002C2D5C" w:rsidRPr="00764D07">
        <w:rPr>
          <w:sz w:val="18"/>
          <w:szCs w:val="18"/>
          <w:lang w:val="en-GB"/>
        </w:rPr>
        <w:t xml:space="preserve"> </w:t>
      </w:r>
      <w:r>
        <w:rPr>
          <w:sz w:val="18"/>
          <w:szCs w:val="18"/>
          <w:lang w:val="en-GB"/>
        </w:rPr>
        <w:t>t</w:t>
      </w:r>
      <w:r w:rsidR="002C2D5C" w:rsidRPr="00764D07">
        <w:rPr>
          <w:sz w:val="18"/>
          <w:szCs w:val="18"/>
          <w:lang w:val="en-GB"/>
        </w:rPr>
        <w:t xml:space="preserve">he evidence assembled below examines the composition and age structure of households </w:t>
      </w:r>
      <w:r w:rsidR="00764D07">
        <w:rPr>
          <w:sz w:val="18"/>
          <w:szCs w:val="18"/>
          <w:lang w:val="en-GB"/>
        </w:rPr>
        <w:t>in the 2011 Census</w:t>
      </w:r>
      <w:r w:rsidR="002C2D5C" w:rsidRPr="00764D07">
        <w:rPr>
          <w:sz w:val="18"/>
          <w:szCs w:val="18"/>
          <w:lang w:val="en-GB"/>
        </w:rPr>
        <w:t xml:space="preserve"> and in future years. Through a consideration of the types of households </w:t>
      </w:r>
      <w:r w:rsidR="00764D07">
        <w:rPr>
          <w:sz w:val="18"/>
          <w:szCs w:val="18"/>
          <w:lang w:val="en-GB"/>
        </w:rPr>
        <w:t>projected to form over the Neighbourhood Plan period,</w:t>
      </w:r>
      <w:r w:rsidR="002C2D5C" w:rsidRPr="00764D07">
        <w:rPr>
          <w:sz w:val="18"/>
          <w:szCs w:val="18"/>
          <w:lang w:val="en-GB"/>
        </w:rPr>
        <w:t xml:space="preserve"> and the mix of age groups</w:t>
      </w:r>
      <w:r w:rsidR="00764D07">
        <w:rPr>
          <w:sz w:val="18"/>
          <w:szCs w:val="18"/>
          <w:lang w:val="en-GB"/>
        </w:rPr>
        <w:t xml:space="preserve"> suggested by demographic projections, it becomes</w:t>
      </w:r>
      <w:r w:rsidR="002C2D5C" w:rsidRPr="00764D07">
        <w:rPr>
          <w:sz w:val="18"/>
          <w:szCs w:val="18"/>
          <w:lang w:val="en-GB"/>
        </w:rPr>
        <w:t xml:space="preserve"> possible to consider the type and size of housing needed in </w:t>
      </w:r>
      <w:r w:rsidR="005F50BC">
        <w:rPr>
          <w:sz w:val="18"/>
          <w:szCs w:val="18"/>
          <w:lang w:val="en-GB"/>
        </w:rPr>
        <w:t xml:space="preserve">the </w:t>
      </w:r>
      <w:r w:rsidR="00703761">
        <w:rPr>
          <w:sz w:val="18"/>
          <w:szCs w:val="18"/>
          <w:lang w:val="en-GB"/>
        </w:rPr>
        <w:t xml:space="preserve">Neighbourhood </w:t>
      </w:r>
      <w:r w:rsidR="005F50BC">
        <w:rPr>
          <w:sz w:val="18"/>
          <w:szCs w:val="18"/>
          <w:lang w:val="en-GB"/>
        </w:rPr>
        <w:t>Plan area</w:t>
      </w:r>
      <w:r w:rsidR="00F47128">
        <w:rPr>
          <w:sz w:val="18"/>
          <w:szCs w:val="18"/>
          <w:lang w:val="en-GB"/>
        </w:rPr>
        <w:t xml:space="preserve"> by the end of the planning period</w:t>
      </w:r>
      <w:r w:rsidR="002C2D5C" w:rsidRPr="00764D07">
        <w:rPr>
          <w:sz w:val="18"/>
          <w:szCs w:val="18"/>
          <w:lang w:val="en-GB"/>
        </w:rPr>
        <w:t>.</w:t>
      </w:r>
    </w:p>
    <w:p w:rsidR="002C2D5C" w:rsidRPr="0072185D" w:rsidRDefault="002C2D5C" w:rsidP="002C2D5C">
      <w:pPr>
        <w:pStyle w:val="Heading3"/>
        <w:jc w:val="both"/>
      </w:pPr>
      <w:bookmarkStart w:id="113" w:name="_Toc4428641"/>
      <w:bookmarkStart w:id="114" w:name="_Toc33015868"/>
      <w:r w:rsidRPr="0072185D">
        <w:t>Age structure</w:t>
      </w:r>
      <w:bookmarkEnd w:id="113"/>
      <w:bookmarkEnd w:id="114"/>
    </w:p>
    <w:p w:rsidR="002C2D5C" w:rsidRPr="005F50BC" w:rsidRDefault="00DF38AF" w:rsidP="002C2D5C">
      <w:pPr>
        <w:pStyle w:val="ListNumber"/>
        <w:spacing w:before="0"/>
        <w:jc w:val="both"/>
        <w:rPr>
          <w:sz w:val="18"/>
          <w:szCs w:val="18"/>
          <w:lang w:val="en-GB"/>
        </w:rPr>
      </w:pPr>
      <w:r>
        <w:rPr>
          <w:sz w:val="18"/>
          <w:szCs w:val="18"/>
          <w:lang w:val="en-GB"/>
        </w:rPr>
        <w:t>The 2011 C</w:t>
      </w:r>
      <w:r w:rsidR="002C2D5C" w:rsidRPr="005F50BC">
        <w:rPr>
          <w:sz w:val="18"/>
          <w:szCs w:val="18"/>
          <w:lang w:val="en-GB"/>
        </w:rPr>
        <w:t xml:space="preserve">ensus data reveals that </w:t>
      </w:r>
      <w:r w:rsidR="002C4987">
        <w:rPr>
          <w:sz w:val="18"/>
          <w:szCs w:val="18"/>
          <w:lang w:val="en-GB"/>
        </w:rPr>
        <w:t>the 25-44 and 45-64 groups make up half of the NA’s inhabitants, with 65-84 year olds making up almost 20%</w:t>
      </w:r>
      <w:r w:rsidR="001078F9">
        <w:rPr>
          <w:sz w:val="18"/>
          <w:szCs w:val="18"/>
          <w:lang w:val="en-GB"/>
        </w:rPr>
        <w:t xml:space="preserve"> of Reedham’s population</w:t>
      </w:r>
      <w:r w:rsidR="002C4987">
        <w:rPr>
          <w:sz w:val="18"/>
          <w:szCs w:val="18"/>
          <w:lang w:val="en-GB"/>
        </w:rPr>
        <w:t xml:space="preserve"> </w:t>
      </w:r>
      <w:r w:rsidR="006B5D20" w:rsidRPr="005F50BC">
        <w:rPr>
          <w:sz w:val="18"/>
          <w:szCs w:val="18"/>
          <w:lang w:val="en-GB"/>
        </w:rPr>
        <w:t xml:space="preserve">(see </w:t>
      </w:r>
      <w:fldSimple w:instr=" REF _Ref2601251 \h  \* MERGEFORMAT ">
        <w:r w:rsidR="00E14AFB" w:rsidRPr="002D4F56">
          <w:rPr>
            <w:sz w:val="18"/>
            <w:szCs w:val="18"/>
          </w:rPr>
          <w:t xml:space="preserve">Figure </w:t>
        </w:r>
        <w:r w:rsidR="00E14AFB">
          <w:rPr>
            <w:noProof/>
            <w:sz w:val="18"/>
            <w:szCs w:val="18"/>
          </w:rPr>
          <w:t>6</w:t>
        </w:r>
        <w:r w:rsidR="00E14AFB" w:rsidRPr="002D4F56">
          <w:rPr>
            <w:noProof/>
            <w:sz w:val="18"/>
            <w:szCs w:val="18"/>
          </w:rPr>
          <w:noBreakHyphen/>
        </w:r>
        <w:r w:rsidR="00E14AFB">
          <w:rPr>
            <w:noProof/>
            <w:sz w:val="18"/>
            <w:szCs w:val="18"/>
          </w:rPr>
          <w:t>1</w:t>
        </w:r>
      </w:fldSimple>
      <w:r w:rsidR="002C2D5C" w:rsidRPr="005F50BC">
        <w:rPr>
          <w:sz w:val="18"/>
          <w:szCs w:val="18"/>
          <w:lang w:val="en-GB"/>
        </w:rPr>
        <w:t xml:space="preserve"> below).</w:t>
      </w:r>
      <w:r w:rsidR="00FE66F5">
        <w:rPr>
          <w:sz w:val="18"/>
          <w:szCs w:val="18"/>
          <w:lang w:val="en-GB"/>
        </w:rPr>
        <w:t xml:space="preserve"> This age group are more prominent here than at the national level. Children (0-15) also make up </w:t>
      </w:r>
      <w:r w:rsidR="00730887">
        <w:rPr>
          <w:sz w:val="18"/>
          <w:szCs w:val="18"/>
          <w:lang w:val="en-GB"/>
        </w:rPr>
        <w:t xml:space="preserve">16% </w:t>
      </w:r>
      <w:r w:rsidR="00FE66F5">
        <w:rPr>
          <w:sz w:val="18"/>
          <w:szCs w:val="18"/>
          <w:lang w:val="en-GB"/>
        </w:rPr>
        <w:t>of</w:t>
      </w:r>
      <w:r w:rsidR="00730887">
        <w:rPr>
          <w:sz w:val="18"/>
          <w:szCs w:val="18"/>
          <w:lang w:val="en-GB"/>
        </w:rPr>
        <w:t xml:space="preserve"> Reedham’s</w:t>
      </w:r>
      <w:r w:rsidR="00FE66F5">
        <w:rPr>
          <w:sz w:val="18"/>
          <w:szCs w:val="18"/>
          <w:lang w:val="en-GB"/>
        </w:rPr>
        <w:t xml:space="preserve"> inhabitants – </w:t>
      </w:r>
      <w:r w:rsidR="001078F9">
        <w:rPr>
          <w:sz w:val="18"/>
          <w:szCs w:val="18"/>
          <w:lang w:val="en-GB"/>
        </w:rPr>
        <w:t>16</w:t>
      </w:r>
      <w:r w:rsidR="00FE66F5">
        <w:rPr>
          <w:sz w:val="18"/>
          <w:szCs w:val="18"/>
          <w:lang w:val="en-GB"/>
        </w:rPr>
        <w:t xml:space="preserve">%, however, this is lower than the national level. </w:t>
      </w:r>
    </w:p>
    <w:p w:rsidR="002C2D5C" w:rsidRPr="002D4F56" w:rsidRDefault="00DA6CC1" w:rsidP="002C2D5C">
      <w:pPr>
        <w:pStyle w:val="Caption"/>
        <w:jc w:val="both"/>
        <w:rPr>
          <w:sz w:val="18"/>
          <w:szCs w:val="18"/>
        </w:rPr>
      </w:pPr>
      <w:bookmarkStart w:id="115" w:name="_Ref2601251"/>
      <w:r>
        <w:rPr>
          <w:noProof/>
        </w:rPr>
        <w:drawing>
          <wp:anchor distT="0" distB="0" distL="114300" distR="114300" simplePos="0" relativeHeight="251666432" behindDoc="0" locked="0" layoutInCell="1" allowOverlap="1">
            <wp:simplePos x="0" y="0"/>
            <wp:positionH relativeFrom="column">
              <wp:posOffset>275590</wp:posOffset>
            </wp:positionH>
            <wp:positionV relativeFrom="paragraph">
              <wp:posOffset>229235</wp:posOffset>
            </wp:positionV>
            <wp:extent cx="5947410" cy="2219325"/>
            <wp:effectExtent l="0" t="0" r="15240" b="9525"/>
            <wp:wrapTopAndBottom/>
            <wp:docPr id="18" name="Chart 18">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864813BD-D6FF-4D90-A244-6184CAFA90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r w:rsidR="002C2D5C" w:rsidRPr="002D4F56">
        <w:rPr>
          <w:sz w:val="18"/>
          <w:szCs w:val="18"/>
        </w:rPr>
        <w:t xml:space="preserve">Figure </w:t>
      </w:r>
      <w:r w:rsidR="001A69AC" w:rsidRPr="002D4F56">
        <w:rPr>
          <w:noProof/>
          <w:sz w:val="18"/>
          <w:szCs w:val="18"/>
        </w:rPr>
        <w:fldChar w:fldCharType="begin"/>
      </w:r>
      <w:r w:rsidR="002C2D5C" w:rsidRPr="002D4F56">
        <w:rPr>
          <w:noProof/>
          <w:sz w:val="18"/>
          <w:szCs w:val="18"/>
        </w:rPr>
        <w:instrText xml:space="preserve"> STYLEREF 1 \s </w:instrText>
      </w:r>
      <w:r w:rsidR="001A69AC" w:rsidRPr="002D4F56">
        <w:rPr>
          <w:noProof/>
          <w:sz w:val="18"/>
          <w:szCs w:val="18"/>
        </w:rPr>
        <w:fldChar w:fldCharType="separate"/>
      </w:r>
      <w:r w:rsidR="00E14AFB">
        <w:rPr>
          <w:noProof/>
          <w:sz w:val="18"/>
          <w:szCs w:val="18"/>
        </w:rPr>
        <w:t>6</w:t>
      </w:r>
      <w:r w:rsidR="001A69AC" w:rsidRPr="002D4F56">
        <w:rPr>
          <w:noProof/>
          <w:sz w:val="18"/>
          <w:szCs w:val="18"/>
        </w:rPr>
        <w:fldChar w:fldCharType="end"/>
      </w:r>
      <w:r w:rsidR="002C2D5C" w:rsidRPr="002D4F56">
        <w:rPr>
          <w:sz w:val="18"/>
          <w:szCs w:val="18"/>
        </w:rPr>
        <w:noBreakHyphen/>
      </w:r>
      <w:r w:rsidR="001A69AC" w:rsidRPr="002D4F56">
        <w:rPr>
          <w:noProof/>
          <w:sz w:val="18"/>
          <w:szCs w:val="18"/>
        </w:rPr>
        <w:fldChar w:fldCharType="begin"/>
      </w:r>
      <w:r w:rsidR="002C2D5C" w:rsidRPr="002D4F56">
        <w:rPr>
          <w:noProof/>
          <w:sz w:val="18"/>
          <w:szCs w:val="18"/>
        </w:rPr>
        <w:instrText xml:space="preserve"> SEQ Figure \* ARABIC \s 1 </w:instrText>
      </w:r>
      <w:r w:rsidR="001A69AC" w:rsidRPr="002D4F56">
        <w:rPr>
          <w:noProof/>
          <w:sz w:val="18"/>
          <w:szCs w:val="18"/>
        </w:rPr>
        <w:fldChar w:fldCharType="separate"/>
      </w:r>
      <w:r w:rsidR="00E14AFB">
        <w:rPr>
          <w:noProof/>
          <w:sz w:val="18"/>
          <w:szCs w:val="18"/>
        </w:rPr>
        <w:t>1</w:t>
      </w:r>
      <w:r w:rsidR="001A69AC" w:rsidRPr="002D4F56">
        <w:rPr>
          <w:noProof/>
          <w:sz w:val="18"/>
          <w:szCs w:val="18"/>
        </w:rPr>
        <w:fldChar w:fldCharType="end"/>
      </w:r>
      <w:bookmarkEnd w:id="115"/>
      <w:r w:rsidR="002C2D5C" w:rsidRPr="002D4F56">
        <w:rPr>
          <w:noProof/>
          <w:sz w:val="18"/>
          <w:szCs w:val="18"/>
        </w:rPr>
        <w:t>: Age structure</w:t>
      </w:r>
      <w:r w:rsidR="002D4F56">
        <w:rPr>
          <w:noProof/>
          <w:sz w:val="18"/>
          <w:szCs w:val="18"/>
        </w:rPr>
        <w:t xml:space="preserve"> in </w:t>
      </w:r>
      <w:r>
        <w:rPr>
          <w:noProof/>
          <w:sz w:val="18"/>
          <w:szCs w:val="18"/>
        </w:rPr>
        <w:t>Reedham</w:t>
      </w:r>
      <w:r w:rsidR="002C2D5C" w:rsidRPr="002D4F56">
        <w:rPr>
          <w:noProof/>
          <w:sz w:val="18"/>
          <w:szCs w:val="18"/>
        </w:rPr>
        <w:t>, 2011</w:t>
      </w:r>
    </w:p>
    <w:p w:rsidR="002C2D5C" w:rsidRPr="00694E86" w:rsidRDefault="002C2D5C" w:rsidP="002C2D5C">
      <w:pPr>
        <w:pStyle w:val="ListNumber"/>
        <w:numPr>
          <w:ilvl w:val="0"/>
          <w:numId w:val="0"/>
        </w:numPr>
        <w:ind w:left="425"/>
        <w:jc w:val="both"/>
        <w:rPr>
          <w:lang w:val="en-GB"/>
        </w:rPr>
      </w:pPr>
    </w:p>
    <w:p w:rsidR="002C2D5C" w:rsidRDefault="002C2D5C" w:rsidP="002C2D5C">
      <w:pPr>
        <w:pStyle w:val="Source"/>
        <w:jc w:val="both"/>
        <w:rPr>
          <w:lang w:val="en-GB"/>
        </w:rPr>
      </w:pPr>
      <w:r w:rsidRPr="00B9437B">
        <w:rPr>
          <w:lang w:val="en-GB"/>
        </w:rPr>
        <w:t>Source: ONS 2011, AECOM Calculations</w:t>
      </w:r>
    </w:p>
    <w:p w:rsidR="002C2D5C" w:rsidRPr="00CA73BD" w:rsidRDefault="00CA73BD" w:rsidP="002C2D5C">
      <w:pPr>
        <w:pStyle w:val="ListNumber"/>
        <w:spacing w:before="0"/>
        <w:jc w:val="both"/>
        <w:rPr>
          <w:rFonts w:asciiTheme="majorHAnsi" w:hAnsiTheme="majorHAnsi"/>
          <w:b/>
          <w:bCs/>
          <w:color w:val="00B5E2" w:themeColor="accent1"/>
          <w:sz w:val="18"/>
          <w:szCs w:val="18"/>
        </w:rPr>
      </w:pPr>
      <w:r>
        <w:rPr>
          <w:sz w:val="18"/>
          <w:szCs w:val="18"/>
        </w:rPr>
        <w:t xml:space="preserve">In terms of the changing age structure of </w:t>
      </w:r>
      <w:r w:rsidR="005F50BC">
        <w:rPr>
          <w:sz w:val="18"/>
          <w:szCs w:val="18"/>
        </w:rPr>
        <w:t xml:space="preserve">the </w:t>
      </w:r>
      <w:r w:rsidR="00703761">
        <w:rPr>
          <w:sz w:val="18"/>
          <w:szCs w:val="18"/>
          <w:lang w:val="en-GB"/>
        </w:rPr>
        <w:t>Neighbourhood</w:t>
      </w:r>
      <w:r w:rsidR="00703761">
        <w:rPr>
          <w:sz w:val="18"/>
          <w:szCs w:val="18"/>
        </w:rPr>
        <w:t xml:space="preserve"> </w:t>
      </w:r>
      <w:r w:rsidR="005F50BC">
        <w:rPr>
          <w:sz w:val="18"/>
          <w:szCs w:val="18"/>
        </w:rPr>
        <w:t>Plan area</w:t>
      </w:r>
      <w:r>
        <w:rPr>
          <w:sz w:val="18"/>
          <w:szCs w:val="18"/>
        </w:rPr>
        <w:t xml:space="preserve"> population, </w:t>
      </w:r>
      <w:r w:rsidR="0072185D">
        <w:rPr>
          <w:sz w:val="18"/>
          <w:szCs w:val="18"/>
        </w:rPr>
        <w:t>C</w:t>
      </w:r>
      <w:r w:rsidR="002C2D5C" w:rsidRPr="0072185D">
        <w:rPr>
          <w:sz w:val="18"/>
          <w:szCs w:val="18"/>
        </w:rPr>
        <w:t xml:space="preserve">ensus </w:t>
      </w:r>
      <w:r w:rsidR="0072185D">
        <w:rPr>
          <w:sz w:val="18"/>
          <w:szCs w:val="18"/>
        </w:rPr>
        <w:t xml:space="preserve">data </w:t>
      </w:r>
      <w:r>
        <w:rPr>
          <w:sz w:val="18"/>
          <w:szCs w:val="18"/>
        </w:rPr>
        <w:t>shows that since 2001 NA population has</w:t>
      </w:r>
      <w:r w:rsidR="002C2D5C" w:rsidRPr="00CA73BD">
        <w:rPr>
          <w:sz w:val="18"/>
          <w:szCs w:val="18"/>
        </w:rPr>
        <w:t xml:space="preserve"> </w:t>
      </w:r>
      <w:r w:rsidR="00325E2C">
        <w:rPr>
          <w:sz w:val="18"/>
          <w:szCs w:val="18"/>
        </w:rPr>
        <w:t xml:space="preserve">seen the greatest growth in the 85 and over age bracket </w:t>
      </w:r>
      <w:r w:rsidR="00B35218">
        <w:rPr>
          <w:sz w:val="18"/>
          <w:szCs w:val="18"/>
        </w:rPr>
        <w:t>at</w:t>
      </w:r>
      <w:r w:rsidR="00325E2C">
        <w:rPr>
          <w:sz w:val="18"/>
          <w:szCs w:val="18"/>
        </w:rPr>
        <w:t xml:space="preserve"> 366.7%</w:t>
      </w:r>
      <w:r w:rsidR="00730887">
        <w:rPr>
          <w:sz w:val="18"/>
          <w:szCs w:val="18"/>
        </w:rPr>
        <w:t xml:space="preserve"> - though this is due to a comparatively low starting figure of just 6 people (rising to 28 in 2011)</w:t>
      </w:r>
      <w:r w:rsidR="00325E2C">
        <w:rPr>
          <w:sz w:val="18"/>
          <w:szCs w:val="18"/>
        </w:rPr>
        <w:t xml:space="preserve">. The younger age brackets, particularly children </w:t>
      </w:r>
      <w:r w:rsidR="00325E2C">
        <w:rPr>
          <w:sz w:val="18"/>
          <w:szCs w:val="18"/>
        </w:rPr>
        <w:lastRenderedPageBreak/>
        <w:t>aged 0-15 and 16-24 year olds</w:t>
      </w:r>
      <w:r w:rsidR="00B35218">
        <w:rPr>
          <w:sz w:val="18"/>
          <w:szCs w:val="18"/>
        </w:rPr>
        <w:t xml:space="preserve"> ha</w:t>
      </w:r>
      <w:r w:rsidR="00730887">
        <w:rPr>
          <w:sz w:val="18"/>
          <w:szCs w:val="18"/>
        </w:rPr>
        <w:t>ve</w:t>
      </w:r>
      <w:r w:rsidR="00B35218">
        <w:rPr>
          <w:sz w:val="18"/>
          <w:szCs w:val="18"/>
        </w:rPr>
        <w:t xml:space="preserve"> also increased. This suggests that more families are moving to the area as a result of suitable dwelling mix (2-4 bedroom homes)</w:t>
      </w:r>
      <w:r w:rsidR="00730887">
        <w:rPr>
          <w:sz w:val="18"/>
          <w:szCs w:val="18"/>
        </w:rPr>
        <w:t>, while other households are ageing at a faster rate than the district</w:t>
      </w:r>
      <w:r w:rsidR="002C2D5C" w:rsidRPr="00CA73BD">
        <w:rPr>
          <w:sz w:val="18"/>
          <w:szCs w:val="18"/>
        </w:rPr>
        <w:t xml:space="preserve"> (see </w:t>
      </w:r>
      <w:fldSimple w:instr=" REF _Ref2601666 \h  \* MERGEFORMAT ">
        <w:r w:rsidR="00E14AFB" w:rsidRPr="002D4F56">
          <w:rPr>
            <w:sz w:val="18"/>
            <w:szCs w:val="18"/>
          </w:rPr>
          <w:t xml:space="preserve">Table </w:t>
        </w:r>
        <w:r w:rsidR="00E14AFB">
          <w:rPr>
            <w:noProof/>
            <w:sz w:val="18"/>
            <w:szCs w:val="18"/>
          </w:rPr>
          <w:t>6</w:t>
        </w:r>
        <w:r w:rsidR="00E14AFB" w:rsidRPr="002D4F56">
          <w:rPr>
            <w:noProof/>
            <w:sz w:val="18"/>
            <w:szCs w:val="18"/>
          </w:rPr>
          <w:noBreakHyphen/>
        </w:r>
        <w:r w:rsidR="00E14AFB">
          <w:rPr>
            <w:noProof/>
            <w:sz w:val="18"/>
            <w:szCs w:val="18"/>
          </w:rPr>
          <w:t>6</w:t>
        </w:r>
      </w:fldSimple>
      <w:r w:rsidR="002C2D5C" w:rsidRPr="00CA73BD">
        <w:rPr>
          <w:sz w:val="18"/>
          <w:szCs w:val="18"/>
        </w:rPr>
        <w:t xml:space="preserve"> below).</w:t>
      </w:r>
    </w:p>
    <w:p w:rsidR="002C2D5C" w:rsidRPr="002D4F56" w:rsidRDefault="002C2D5C" w:rsidP="002C2D5C">
      <w:pPr>
        <w:pStyle w:val="Caption"/>
        <w:jc w:val="both"/>
        <w:rPr>
          <w:sz w:val="18"/>
          <w:szCs w:val="18"/>
        </w:rPr>
      </w:pPr>
      <w:bookmarkStart w:id="116" w:name="_Ref2601666"/>
      <w:r w:rsidRPr="002D4F56">
        <w:rPr>
          <w:sz w:val="18"/>
          <w:szCs w:val="18"/>
        </w:rPr>
        <w:t xml:space="preserve">Table </w:t>
      </w:r>
      <w:r w:rsidR="001A69AC" w:rsidRPr="002D4F56">
        <w:rPr>
          <w:noProof/>
          <w:sz w:val="18"/>
          <w:szCs w:val="18"/>
        </w:rPr>
        <w:fldChar w:fldCharType="begin"/>
      </w:r>
      <w:r w:rsidRPr="002D4F56">
        <w:rPr>
          <w:noProof/>
          <w:sz w:val="18"/>
          <w:szCs w:val="18"/>
        </w:rPr>
        <w:instrText xml:space="preserve"> STYLEREF 1 \s </w:instrText>
      </w:r>
      <w:r w:rsidR="001A69AC" w:rsidRPr="002D4F56">
        <w:rPr>
          <w:noProof/>
          <w:sz w:val="18"/>
          <w:szCs w:val="18"/>
        </w:rPr>
        <w:fldChar w:fldCharType="separate"/>
      </w:r>
      <w:r w:rsidR="00E14AFB">
        <w:rPr>
          <w:noProof/>
          <w:sz w:val="18"/>
          <w:szCs w:val="18"/>
        </w:rPr>
        <w:t>6</w:t>
      </w:r>
      <w:r w:rsidR="001A69AC" w:rsidRPr="002D4F56">
        <w:rPr>
          <w:noProof/>
          <w:sz w:val="18"/>
          <w:szCs w:val="18"/>
        </w:rPr>
        <w:fldChar w:fldCharType="end"/>
      </w:r>
      <w:r w:rsidRPr="002D4F56">
        <w:rPr>
          <w:sz w:val="18"/>
          <w:szCs w:val="18"/>
        </w:rPr>
        <w:noBreakHyphen/>
      </w:r>
      <w:r w:rsidR="001A69AC" w:rsidRPr="002D4F56">
        <w:rPr>
          <w:noProof/>
          <w:sz w:val="18"/>
          <w:szCs w:val="18"/>
        </w:rPr>
        <w:fldChar w:fldCharType="begin"/>
      </w:r>
      <w:r w:rsidRPr="002D4F56">
        <w:rPr>
          <w:noProof/>
          <w:sz w:val="18"/>
          <w:szCs w:val="18"/>
        </w:rPr>
        <w:instrText xml:space="preserve"> SEQ Table \* ARABIC \s 1 </w:instrText>
      </w:r>
      <w:r w:rsidR="001A69AC" w:rsidRPr="002D4F56">
        <w:rPr>
          <w:noProof/>
          <w:sz w:val="18"/>
          <w:szCs w:val="18"/>
        </w:rPr>
        <w:fldChar w:fldCharType="separate"/>
      </w:r>
      <w:r w:rsidR="00E14AFB">
        <w:rPr>
          <w:noProof/>
          <w:sz w:val="18"/>
          <w:szCs w:val="18"/>
        </w:rPr>
        <w:t>6</w:t>
      </w:r>
      <w:r w:rsidR="001A69AC" w:rsidRPr="002D4F56">
        <w:rPr>
          <w:noProof/>
          <w:sz w:val="18"/>
          <w:szCs w:val="18"/>
        </w:rPr>
        <w:fldChar w:fldCharType="end"/>
      </w:r>
      <w:bookmarkEnd w:id="116"/>
      <w:r w:rsidRPr="002D4F56">
        <w:rPr>
          <w:sz w:val="18"/>
          <w:szCs w:val="18"/>
        </w:rPr>
        <w:t>: Rate of cha</w:t>
      </w:r>
      <w:r w:rsidR="005F50BC" w:rsidRPr="002D4F56">
        <w:rPr>
          <w:sz w:val="18"/>
          <w:szCs w:val="18"/>
        </w:rPr>
        <w:t xml:space="preserve">nge in the age structure of </w:t>
      </w:r>
      <w:r w:rsidR="00ED7A0F">
        <w:rPr>
          <w:sz w:val="18"/>
          <w:szCs w:val="18"/>
        </w:rPr>
        <w:t>Reedham</w:t>
      </w:r>
      <w:r w:rsidR="005F50BC" w:rsidRPr="002D4F56">
        <w:rPr>
          <w:sz w:val="18"/>
          <w:szCs w:val="18"/>
        </w:rPr>
        <w:t xml:space="preserve"> </w:t>
      </w:r>
      <w:r w:rsidRPr="002D4F56">
        <w:rPr>
          <w:sz w:val="18"/>
          <w:szCs w:val="18"/>
        </w:rPr>
        <w:t>population, 2001-2011</w:t>
      </w:r>
    </w:p>
    <w:tbl>
      <w:tblPr>
        <w:tblW w:w="4791"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3"/>
        <w:gridCol w:w="2379"/>
        <w:gridCol w:w="2379"/>
        <w:gridCol w:w="2379"/>
      </w:tblGrid>
      <w:tr w:rsidR="002C2D5C" w:rsidRPr="00374C95" w:rsidTr="00ED7A0F">
        <w:trPr>
          <w:trHeight w:val="288"/>
        </w:trPr>
        <w:tc>
          <w:tcPr>
            <w:tcW w:w="1295" w:type="pct"/>
            <w:shd w:val="clear" w:color="auto" w:fill="000000" w:themeFill="text1"/>
            <w:noWrap/>
            <w:vAlign w:val="center"/>
            <w:hideMark/>
          </w:tcPr>
          <w:p w:rsidR="002C2D5C" w:rsidRPr="00374C95" w:rsidRDefault="002C2D5C" w:rsidP="00C378B2">
            <w:pPr>
              <w:spacing w:line="240" w:lineRule="auto"/>
              <w:jc w:val="both"/>
              <w:rPr>
                <w:rFonts w:cstheme="minorHAnsi"/>
                <w:b/>
                <w:bCs/>
                <w:color w:val="FFFFFF" w:themeColor="background1"/>
                <w:sz w:val="18"/>
                <w:szCs w:val="18"/>
                <w:lang w:eastAsia="zh-CN"/>
              </w:rPr>
            </w:pPr>
            <w:r w:rsidRPr="00374C95">
              <w:rPr>
                <w:rFonts w:cstheme="minorHAnsi"/>
                <w:b/>
                <w:bCs/>
                <w:color w:val="FFFFFF" w:themeColor="background1"/>
                <w:sz w:val="18"/>
                <w:szCs w:val="18"/>
                <w:lang w:eastAsia="zh-CN"/>
              </w:rPr>
              <w:t>Age group</w:t>
            </w:r>
          </w:p>
        </w:tc>
        <w:tc>
          <w:tcPr>
            <w:tcW w:w="1235" w:type="pct"/>
            <w:shd w:val="clear" w:color="auto" w:fill="000000" w:themeFill="text1"/>
            <w:noWrap/>
            <w:vAlign w:val="center"/>
          </w:tcPr>
          <w:p w:rsidR="002C2D5C" w:rsidRPr="00374C95" w:rsidRDefault="00ED7A0F" w:rsidP="00C378B2">
            <w:pPr>
              <w:spacing w:line="240" w:lineRule="auto"/>
              <w:jc w:val="both"/>
              <w:rPr>
                <w:rFonts w:cstheme="minorHAnsi"/>
                <w:b/>
                <w:bCs/>
                <w:color w:val="FFFFFF" w:themeColor="background1"/>
                <w:sz w:val="18"/>
                <w:szCs w:val="18"/>
                <w:lang w:eastAsia="zh-CN"/>
              </w:rPr>
            </w:pPr>
            <w:r>
              <w:rPr>
                <w:rFonts w:cstheme="minorHAnsi"/>
                <w:b/>
                <w:bCs/>
                <w:color w:val="FFFFFF" w:themeColor="background1"/>
                <w:sz w:val="18"/>
                <w:szCs w:val="18"/>
                <w:lang w:eastAsia="zh-CN"/>
              </w:rPr>
              <w:t>Reedham</w:t>
            </w:r>
          </w:p>
        </w:tc>
        <w:tc>
          <w:tcPr>
            <w:tcW w:w="1235" w:type="pct"/>
            <w:shd w:val="clear" w:color="auto" w:fill="000000" w:themeFill="text1"/>
            <w:noWrap/>
            <w:vAlign w:val="center"/>
          </w:tcPr>
          <w:p w:rsidR="002C2D5C" w:rsidRPr="00374C95" w:rsidRDefault="00ED7A0F" w:rsidP="00C378B2">
            <w:pPr>
              <w:spacing w:line="240" w:lineRule="auto"/>
              <w:jc w:val="both"/>
              <w:rPr>
                <w:rFonts w:cstheme="minorHAnsi"/>
                <w:b/>
                <w:bCs/>
                <w:color w:val="FFFFFF" w:themeColor="background1"/>
                <w:sz w:val="18"/>
                <w:szCs w:val="18"/>
                <w:lang w:eastAsia="zh-CN"/>
              </w:rPr>
            </w:pPr>
            <w:r>
              <w:rPr>
                <w:rFonts w:cstheme="minorHAnsi"/>
                <w:b/>
                <w:bCs/>
                <w:color w:val="FFFFFF" w:themeColor="background1"/>
                <w:sz w:val="18"/>
                <w:szCs w:val="18"/>
                <w:lang w:eastAsia="zh-CN"/>
              </w:rPr>
              <w:t>Broadland</w:t>
            </w:r>
          </w:p>
        </w:tc>
        <w:tc>
          <w:tcPr>
            <w:tcW w:w="1235" w:type="pct"/>
            <w:shd w:val="clear" w:color="auto" w:fill="000000" w:themeFill="text1"/>
            <w:vAlign w:val="center"/>
          </w:tcPr>
          <w:p w:rsidR="002C2D5C" w:rsidRPr="00374C95" w:rsidRDefault="00ED7A0F" w:rsidP="00C378B2">
            <w:pPr>
              <w:spacing w:line="240" w:lineRule="auto"/>
              <w:jc w:val="both"/>
              <w:rPr>
                <w:rFonts w:cstheme="minorHAnsi"/>
                <w:b/>
                <w:bCs/>
                <w:color w:val="FFFFFF" w:themeColor="background1"/>
                <w:sz w:val="18"/>
                <w:szCs w:val="18"/>
                <w:lang w:eastAsia="zh-CN"/>
              </w:rPr>
            </w:pPr>
            <w:r>
              <w:rPr>
                <w:rFonts w:cstheme="minorHAnsi"/>
                <w:b/>
                <w:bCs/>
                <w:color w:val="FFFFFF" w:themeColor="background1"/>
                <w:sz w:val="18"/>
                <w:szCs w:val="18"/>
                <w:lang w:eastAsia="zh-CN"/>
              </w:rPr>
              <w:t>England</w:t>
            </w:r>
          </w:p>
        </w:tc>
      </w:tr>
      <w:tr w:rsidR="002C2D5C" w:rsidRPr="00374C95" w:rsidTr="00ED7A0F">
        <w:trPr>
          <w:trHeight w:val="288"/>
        </w:trPr>
        <w:tc>
          <w:tcPr>
            <w:tcW w:w="1295" w:type="pct"/>
            <w:shd w:val="clear" w:color="auto" w:fill="auto"/>
            <w:noWrap/>
            <w:vAlign w:val="center"/>
            <w:hideMark/>
          </w:tcPr>
          <w:p w:rsidR="002C2D5C" w:rsidRPr="00374C95" w:rsidRDefault="002C2D5C" w:rsidP="00C378B2">
            <w:pPr>
              <w:spacing w:line="240" w:lineRule="auto"/>
              <w:jc w:val="both"/>
              <w:rPr>
                <w:rFonts w:cstheme="minorHAnsi"/>
                <w:sz w:val="18"/>
                <w:szCs w:val="18"/>
                <w:lang w:eastAsia="zh-CN"/>
              </w:rPr>
            </w:pPr>
            <w:r w:rsidRPr="00374C95">
              <w:rPr>
                <w:rFonts w:cstheme="minorHAnsi"/>
                <w:sz w:val="18"/>
                <w:szCs w:val="18"/>
                <w:lang w:eastAsia="zh-CN"/>
              </w:rPr>
              <w:t>0-15</w:t>
            </w:r>
          </w:p>
        </w:tc>
        <w:tc>
          <w:tcPr>
            <w:tcW w:w="1235" w:type="pct"/>
            <w:shd w:val="clear" w:color="auto" w:fill="auto"/>
            <w:noWrap/>
          </w:tcPr>
          <w:p w:rsidR="002C2D5C" w:rsidRPr="00374C95" w:rsidRDefault="00ED7A0F" w:rsidP="00C378B2">
            <w:pPr>
              <w:spacing w:line="240" w:lineRule="auto"/>
              <w:jc w:val="both"/>
              <w:rPr>
                <w:rFonts w:cstheme="minorHAnsi"/>
                <w:sz w:val="18"/>
                <w:szCs w:val="18"/>
                <w:lang w:eastAsia="zh-CN"/>
              </w:rPr>
            </w:pPr>
            <w:r>
              <w:rPr>
                <w:rFonts w:cstheme="minorHAnsi"/>
                <w:sz w:val="18"/>
                <w:szCs w:val="18"/>
                <w:lang w:eastAsia="zh-CN"/>
              </w:rPr>
              <w:t>47.4%</w:t>
            </w:r>
          </w:p>
        </w:tc>
        <w:tc>
          <w:tcPr>
            <w:tcW w:w="1235" w:type="pct"/>
            <w:shd w:val="clear" w:color="auto" w:fill="auto"/>
            <w:noWrap/>
          </w:tcPr>
          <w:p w:rsidR="002C2D5C" w:rsidRPr="00374C95" w:rsidRDefault="00ED7A0F" w:rsidP="00C378B2">
            <w:pPr>
              <w:spacing w:line="240" w:lineRule="auto"/>
              <w:jc w:val="both"/>
              <w:rPr>
                <w:rFonts w:cstheme="minorHAnsi"/>
                <w:sz w:val="18"/>
                <w:szCs w:val="18"/>
                <w:lang w:eastAsia="zh-CN"/>
              </w:rPr>
            </w:pPr>
            <w:r>
              <w:rPr>
                <w:rFonts w:cstheme="minorHAnsi"/>
                <w:sz w:val="18"/>
                <w:szCs w:val="18"/>
                <w:lang w:eastAsia="zh-CN"/>
              </w:rPr>
              <w:t>-2.4%</w:t>
            </w:r>
          </w:p>
        </w:tc>
        <w:tc>
          <w:tcPr>
            <w:tcW w:w="1235" w:type="pct"/>
          </w:tcPr>
          <w:p w:rsidR="002C2D5C" w:rsidRPr="00374C95" w:rsidRDefault="00ED7A0F" w:rsidP="00C378B2">
            <w:pPr>
              <w:spacing w:line="240" w:lineRule="auto"/>
              <w:jc w:val="both"/>
              <w:rPr>
                <w:rFonts w:cstheme="minorHAnsi"/>
                <w:sz w:val="18"/>
                <w:szCs w:val="18"/>
                <w:lang w:eastAsia="zh-CN"/>
              </w:rPr>
            </w:pPr>
            <w:r>
              <w:rPr>
                <w:rFonts w:cstheme="minorHAnsi"/>
                <w:sz w:val="18"/>
                <w:szCs w:val="18"/>
                <w:lang w:eastAsia="zh-CN"/>
              </w:rPr>
              <w:t>1.2%</w:t>
            </w:r>
          </w:p>
        </w:tc>
      </w:tr>
      <w:tr w:rsidR="002C2D5C" w:rsidRPr="00374C95" w:rsidTr="00ED7A0F">
        <w:trPr>
          <w:trHeight w:val="288"/>
        </w:trPr>
        <w:tc>
          <w:tcPr>
            <w:tcW w:w="1295" w:type="pct"/>
            <w:shd w:val="clear" w:color="auto" w:fill="auto"/>
            <w:noWrap/>
            <w:vAlign w:val="center"/>
            <w:hideMark/>
          </w:tcPr>
          <w:p w:rsidR="002C2D5C" w:rsidRPr="00374C95" w:rsidRDefault="002C2D5C" w:rsidP="00C378B2">
            <w:pPr>
              <w:spacing w:line="240" w:lineRule="auto"/>
              <w:jc w:val="both"/>
              <w:rPr>
                <w:rFonts w:cstheme="minorHAnsi"/>
                <w:sz w:val="18"/>
                <w:szCs w:val="18"/>
                <w:lang w:eastAsia="zh-CN"/>
              </w:rPr>
            </w:pPr>
            <w:r w:rsidRPr="00374C95">
              <w:rPr>
                <w:rFonts w:cstheme="minorHAnsi"/>
                <w:sz w:val="18"/>
                <w:szCs w:val="18"/>
                <w:lang w:eastAsia="zh-CN"/>
              </w:rPr>
              <w:t>16-24</w:t>
            </w:r>
          </w:p>
        </w:tc>
        <w:tc>
          <w:tcPr>
            <w:tcW w:w="1235" w:type="pct"/>
            <w:shd w:val="clear" w:color="auto" w:fill="auto"/>
            <w:noWrap/>
          </w:tcPr>
          <w:p w:rsidR="002C2D5C" w:rsidRPr="00374C95" w:rsidRDefault="00ED7A0F" w:rsidP="00C378B2">
            <w:pPr>
              <w:spacing w:line="240" w:lineRule="auto"/>
              <w:jc w:val="both"/>
              <w:rPr>
                <w:rFonts w:cstheme="minorHAnsi"/>
                <w:sz w:val="18"/>
                <w:szCs w:val="18"/>
                <w:lang w:eastAsia="zh-CN"/>
              </w:rPr>
            </w:pPr>
            <w:r>
              <w:rPr>
                <w:rFonts w:cstheme="minorHAnsi"/>
                <w:sz w:val="18"/>
                <w:szCs w:val="18"/>
                <w:lang w:eastAsia="zh-CN"/>
              </w:rPr>
              <w:t>44.4%</w:t>
            </w:r>
          </w:p>
        </w:tc>
        <w:tc>
          <w:tcPr>
            <w:tcW w:w="1235" w:type="pct"/>
            <w:shd w:val="clear" w:color="auto" w:fill="auto"/>
            <w:noWrap/>
          </w:tcPr>
          <w:p w:rsidR="002C2D5C" w:rsidRPr="00374C95" w:rsidRDefault="00ED7A0F" w:rsidP="00C378B2">
            <w:pPr>
              <w:spacing w:line="240" w:lineRule="auto"/>
              <w:jc w:val="both"/>
              <w:rPr>
                <w:rFonts w:cstheme="minorHAnsi"/>
                <w:sz w:val="18"/>
                <w:szCs w:val="18"/>
                <w:lang w:eastAsia="zh-CN"/>
              </w:rPr>
            </w:pPr>
            <w:r>
              <w:rPr>
                <w:rFonts w:cstheme="minorHAnsi"/>
                <w:sz w:val="18"/>
                <w:szCs w:val="18"/>
                <w:lang w:eastAsia="zh-CN"/>
              </w:rPr>
              <w:t>13.8%</w:t>
            </w:r>
          </w:p>
        </w:tc>
        <w:tc>
          <w:tcPr>
            <w:tcW w:w="1235" w:type="pct"/>
          </w:tcPr>
          <w:p w:rsidR="002C2D5C" w:rsidRPr="00374C95" w:rsidRDefault="00ED7A0F" w:rsidP="00C378B2">
            <w:pPr>
              <w:spacing w:line="240" w:lineRule="auto"/>
              <w:jc w:val="both"/>
              <w:rPr>
                <w:rFonts w:cstheme="minorHAnsi"/>
                <w:sz w:val="18"/>
                <w:szCs w:val="18"/>
                <w:lang w:eastAsia="zh-CN"/>
              </w:rPr>
            </w:pPr>
            <w:r>
              <w:rPr>
                <w:rFonts w:cstheme="minorHAnsi"/>
                <w:sz w:val="18"/>
                <w:szCs w:val="18"/>
                <w:lang w:eastAsia="zh-CN"/>
              </w:rPr>
              <w:t>17.2%</w:t>
            </w:r>
          </w:p>
        </w:tc>
      </w:tr>
      <w:tr w:rsidR="002C2D5C" w:rsidRPr="00374C95" w:rsidTr="00ED7A0F">
        <w:trPr>
          <w:trHeight w:val="288"/>
        </w:trPr>
        <w:tc>
          <w:tcPr>
            <w:tcW w:w="1295" w:type="pct"/>
            <w:shd w:val="clear" w:color="auto" w:fill="auto"/>
            <w:noWrap/>
            <w:vAlign w:val="center"/>
            <w:hideMark/>
          </w:tcPr>
          <w:p w:rsidR="002C2D5C" w:rsidRPr="00374C95" w:rsidRDefault="002C2D5C" w:rsidP="00C378B2">
            <w:pPr>
              <w:spacing w:line="240" w:lineRule="auto"/>
              <w:jc w:val="both"/>
              <w:rPr>
                <w:rFonts w:cstheme="minorHAnsi"/>
                <w:sz w:val="18"/>
                <w:szCs w:val="18"/>
                <w:lang w:eastAsia="zh-CN"/>
              </w:rPr>
            </w:pPr>
            <w:r w:rsidRPr="00374C95">
              <w:rPr>
                <w:rFonts w:cstheme="minorHAnsi"/>
                <w:sz w:val="18"/>
                <w:szCs w:val="18"/>
                <w:lang w:eastAsia="zh-CN"/>
              </w:rPr>
              <w:t>25-44</w:t>
            </w:r>
          </w:p>
        </w:tc>
        <w:tc>
          <w:tcPr>
            <w:tcW w:w="1235" w:type="pct"/>
            <w:shd w:val="clear" w:color="auto" w:fill="auto"/>
            <w:noWrap/>
          </w:tcPr>
          <w:p w:rsidR="002C2D5C" w:rsidRPr="00374C95" w:rsidRDefault="00ED7A0F" w:rsidP="00C378B2">
            <w:pPr>
              <w:spacing w:line="240" w:lineRule="auto"/>
              <w:jc w:val="both"/>
              <w:rPr>
                <w:rFonts w:cstheme="minorHAnsi"/>
                <w:sz w:val="18"/>
                <w:szCs w:val="18"/>
                <w:lang w:eastAsia="zh-CN"/>
              </w:rPr>
            </w:pPr>
            <w:r>
              <w:rPr>
                <w:rFonts w:cstheme="minorHAnsi"/>
                <w:sz w:val="18"/>
                <w:szCs w:val="18"/>
                <w:lang w:eastAsia="zh-CN"/>
              </w:rPr>
              <w:t>10.4%</w:t>
            </w:r>
          </w:p>
        </w:tc>
        <w:tc>
          <w:tcPr>
            <w:tcW w:w="1235" w:type="pct"/>
            <w:shd w:val="clear" w:color="auto" w:fill="auto"/>
            <w:noWrap/>
          </w:tcPr>
          <w:p w:rsidR="002C2D5C" w:rsidRPr="00374C95" w:rsidRDefault="00ED7A0F" w:rsidP="00C378B2">
            <w:pPr>
              <w:spacing w:line="240" w:lineRule="auto"/>
              <w:jc w:val="both"/>
              <w:rPr>
                <w:rFonts w:cstheme="minorHAnsi"/>
                <w:sz w:val="18"/>
                <w:szCs w:val="18"/>
                <w:lang w:eastAsia="zh-CN"/>
              </w:rPr>
            </w:pPr>
            <w:r>
              <w:rPr>
                <w:rFonts w:cstheme="minorHAnsi"/>
                <w:sz w:val="18"/>
                <w:szCs w:val="18"/>
                <w:lang w:eastAsia="zh-CN"/>
              </w:rPr>
              <w:t>-11.4%</w:t>
            </w:r>
          </w:p>
        </w:tc>
        <w:tc>
          <w:tcPr>
            <w:tcW w:w="1235" w:type="pct"/>
          </w:tcPr>
          <w:p w:rsidR="002C2D5C" w:rsidRPr="00374C95" w:rsidRDefault="00ED7A0F" w:rsidP="00C378B2">
            <w:pPr>
              <w:spacing w:line="240" w:lineRule="auto"/>
              <w:jc w:val="both"/>
              <w:rPr>
                <w:rFonts w:cstheme="minorHAnsi"/>
                <w:sz w:val="18"/>
                <w:szCs w:val="18"/>
                <w:lang w:eastAsia="zh-CN"/>
              </w:rPr>
            </w:pPr>
            <w:r>
              <w:rPr>
                <w:rFonts w:cstheme="minorHAnsi"/>
                <w:sz w:val="18"/>
                <w:szCs w:val="18"/>
                <w:lang w:eastAsia="zh-CN"/>
              </w:rPr>
              <w:t>1.4%</w:t>
            </w:r>
          </w:p>
        </w:tc>
      </w:tr>
      <w:tr w:rsidR="002C2D5C" w:rsidRPr="00374C95" w:rsidTr="00ED7A0F">
        <w:trPr>
          <w:trHeight w:val="288"/>
        </w:trPr>
        <w:tc>
          <w:tcPr>
            <w:tcW w:w="1295" w:type="pct"/>
            <w:shd w:val="clear" w:color="auto" w:fill="auto"/>
            <w:noWrap/>
            <w:vAlign w:val="center"/>
            <w:hideMark/>
          </w:tcPr>
          <w:p w:rsidR="002C2D5C" w:rsidRPr="00374C95" w:rsidRDefault="002C2D5C" w:rsidP="00C378B2">
            <w:pPr>
              <w:spacing w:line="240" w:lineRule="auto"/>
              <w:jc w:val="both"/>
              <w:rPr>
                <w:rFonts w:cstheme="minorHAnsi"/>
                <w:sz w:val="18"/>
                <w:szCs w:val="18"/>
                <w:lang w:eastAsia="zh-CN"/>
              </w:rPr>
            </w:pPr>
            <w:r w:rsidRPr="00374C95">
              <w:rPr>
                <w:rFonts w:cstheme="minorHAnsi"/>
                <w:sz w:val="18"/>
                <w:szCs w:val="18"/>
                <w:lang w:eastAsia="zh-CN"/>
              </w:rPr>
              <w:t>45-64</w:t>
            </w:r>
          </w:p>
        </w:tc>
        <w:tc>
          <w:tcPr>
            <w:tcW w:w="1235" w:type="pct"/>
            <w:shd w:val="clear" w:color="auto" w:fill="auto"/>
            <w:noWrap/>
          </w:tcPr>
          <w:p w:rsidR="002C2D5C" w:rsidRPr="00374C95" w:rsidRDefault="00ED7A0F" w:rsidP="00C378B2">
            <w:pPr>
              <w:spacing w:line="240" w:lineRule="auto"/>
              <w:jc w:val="both"/>
              <w:rPr>
                <w:rFonts w:cstheme="minorHAnsi"/>
                <w:sz w:val="18"/>
                <w:szCs w:val="18"/>
                <w:lang w:eastAsia="zh-CN"/>
              </w:rPr>
            </w:pPr>
            <w:r>
              <w:rPr>
                <w:rFonts w:cstheme="minorHAnsi"/>
                <w:sz w:val="18"/>
                <w:szCs w:val="18"/>
                <w:lang w:eastAsia="zh-CN"/>
              </w:rPr>
              <w:t>27.6%</w:t>
            </w:r>
          </w:p>
        </w:tc>
        <w:tc>
          <w:tcPr>
            <w:tcW w:w="1235" w:type="pct"/>
            <w:shd w:val="clear" w:color="auto" w:fill="auto"/>
            <w:noWrap/>
          </w:tcPr>
          <w:p w:rsidR="002C2D5C" w:rsidRPr="00374C95" w:rsidRDefault="00ED7A0F" w:rsidP="00C378B2">
            <w:pPr>
              <w:spacing w:line="240" w:lineRule="auto"/>
              <w:jc w:val="both"/>
              <w:rPr>
                <w:rFonts w:cstheme="minorHAnsi"/>
                <w:sz w:val="18"/>
                <w:szCs w:val="18"/>
                <w:lang w:eastAsia="zh-CN"/>
              </w:rPr>
            </w:pPr>
            <w:r>
              <w:rPr>
                <w:rFonts w:cstheme="minorHAnsi"/>
                <w:sz w:val="18"/>
                <w:szCs w:val="18"/>
                <w:lang w:eastAsia="zh-CN"/>
              </w:rPr>
              <w:t>12.5%</w:t>
            </w:r>
          </w:p>
        </w:tc>
        <w:tc>
          <w:tcPr>
            <w:tcW w:w="1235" w:type="pct"/>
          </w:tcPr>
          <w:p w:rsidR="002C2D5C" w:rsidRPr="00374C95" w:rsidRDefault="00ED7A0F" w:rsidP="00C378B2">
            <w:pPr>
              <w:spacing w:line="240" w:lineRule="auto"/>
              <w:jc w:val="both"/>
              <w:rPr>
                <w:rFonts w:cstheme="minorHAnsi"/>
                <w:sz w:val="18"/>
                <w:szCs w:val="18"/>
                <w:lang w:eastAsia="zh-CN"/>
              </w:rPr>
            </w:pPr>
            <w:r>
              <w:rPr>
                <w:rFonts w:cstheme="minorHAnsi"/>
                <w:sz w:val="18"/>
                <w:szCs w:val="18"/>
                <w:lang w:eastAsia="zh-CN"/>
              </w:rPr>
              <w:t>15.2%</w:t>
            </w:r>
          </w:p>
        </w:tc>
      </w:tr>
      <w:tr w:rsidR="002C2D5C" w:rsidRPr="00374C95" w:rsidTr="00ED7A0F">
        <w:trPr>
          <w:trHeight w:val="288"/>
        </w:trPr>
        <w:tc>
          <w:tcPr>
            <w:tcW w:w="1295" w:type="pct"/>
            <w:shd w:val="clear" w:color="auto" w:fill="auto"/>
            <w:noWrap/>
            <w:vAlign w:val="center"/>
            <w:hideMark/>
          </w:tcPr>
          <w:p w:rsidR="002C2D5C" w:rsidRPr="00374C95" w:rsidRDefault="002C2D5C" w:rsidP="00C378B2">
            <w:pPr>
              <w:spacing w:line="240" w:lineRule="auto"/>
              <w:jc w:val="both"/>
              <w:rPr>
                <w:rFonts w:cstheme="minorHAnsi"/>
                <w:sz w:val="18"/>
                <w:szCs w:val="18"/>
                <w:lang w:eastAsia="zh-CN"/>
              </w:rPr>
            </w:pPr>
            <w:r w:rsidRPr="00374C95">
              <w:rPr>
                <w:rFonts w:cstheme="minorHAnsi"/>
                <w:sz w:val="18"/>
                <w:szCs w:val="18"/>
                <w:lang w:eastAsia="zh-CN"/>
              </w:rPr>
              <w:t>65-84</w:t>
            </w:r>
          </w:p>
        </w:tc>
        <w:tc>
          <w:tcPr>
            <w:tcW w:w="1235" w:type="pct"/>
            <w:shd w:val="clear" w:color="auto" w:fill="auto"/>
            <w:noWrap/>
          </w:tcPr>
          <w:p w:rsidR="002C2D5C" w:rsidRPr="00374C95" w:rsidRDefault="00ED7A0F" w:rsidP="00C378B2">
            <w:pPr>
              <w:spacing w:line="240" w:lineRule="auto"/>
              <w:jc w:val="both"/>
              <w:rPr>
                <w:rFonts w:cstheme="minorHAnsi"/>
                <w:sz w:val="18"/>
                <w:szCs w:val="18"/>
                <w:lang w:eastAsia="zh-CN"/>
              </w:rPr>
            </w:pPr>
            <w:r>
              <w:rPr>
                <w:rFonts w:cstheme="minorHAnsi"/>
                <w:sz w:val="18"/>
                <w:szCs w:val="18"/>
                <w:lang w:eastAsia="zh-CN"/>
              </w:rPr>
              <w:t>36.3%</w:t>
            </w:r>
          </w:p>
        </w:tc>
        <w:tc>
          <w:tcPr>
            <w:tcW w:w="1235" w:type="pct"/>
            <w:shd w:val="clear" w:color="auto" w:fill="auto"/>
            <w:noWrap/>
          </w:tcPr>
          <w:p w:rsidR="002C2D5C" w:rsidRPr="00374C95" w:rsidRDefault="00ED7A0F" w:rsidP="00C378B2">
            <w:pPr>
              <w:spacing w:line="240" w:lineRule="auto"/>
              <w:jc w:val="both"/>
              <w:rPr>
                <w:rFonts w:cstheme="minorHAnsi"/>
                <w:sz w:val="18"/>
                <w:szCs w:val="18"/>
                <w:lang w:eastAsia="zh-CN"/>
              </w:rPr>
            </w:pPr>
            <w:r>
              <w:rPr>
                <w:rFonts w:cstheme="minorHAnsi"/>
                <w:sz w:val="18"/>
                <w:szCs w:val="18"/>
                <w:lang w:eastAsia="zh-CN"/>
              </w:rPr>
              <w:t>20.2%</w:t>
            </w:r>
          </w:p>
        </w:tc>
        <w:tc>
          <w:tcPr>
            <w:tcW w:w="1235" w:type="pct"/>
          </w:tcPr>
          <w:p w:rsidR="002C2D5C" w:rsidRPr="00374C95" w:rsidRDefault="00ED7A0F" w:rsidP="00C378B2">
            <w:pPr>
              <w:spacing w:line="240" w:lineRule="auto"/>
              <w:jc w:val="both"/>
              <w:rPr>
                <w:rFonts w:cstheme="minorHAnsi"/>
                <w:sz w:val="18"/>
                <w:szCs w:val="18"/>
                <w:lang w:eastAsia="zh-CN"/>
              </w:rPr>
            </w:pPr>
            <w:r>
              <w:rPr>
                <w:rFonts w:cstheme="minorHAnsi"/>
                <w:sz w:val="18"/>
                <w:szCs w:val="18"/>
                <w:lang w:eastAsia="zh-CN"/>
              </w:rPr>
              <w:t>9.1%</w:t>
            </w:r>
          </w:p>
        </w:tc>
      </w:tr>
      <w:tr w:rsidR="002C2D5C" w:rsidRPr="00374C95" w:rsidTr="00ED7A0F">
        <w:trPr>
          <w:trHeight w:val="288"/>
        </w:trPr>
        <w:tc>
          <w:tcPr>
            <w:tcW w:w="1295" w:type="pct"/>
            <w:shd w:val="clear" w:color="auto" w:fill="auto"/>
            <w:noWrap/>
            <w:vAlign w:val="center"/>
            <w:hideMark/>
          </w:tcPr>
          <w:p w:rsidR="002C2D5C" w:rsidRPr="00374C95" w:rsidRDefault="002C2D5C" w:rsidP="00C378B2">
            <w:pPr>
              <w:spacing w:line="240" w:lineRule="auto"/>
              <w:jc w:val="both"/>
              <w:rPr>
                <w:rFonts w:cstheme="minorHAnsi"/>
                <w:sz w:val="18"/>
                <w:szCs w:val="18"/>
                <w:lang w:eastAsia="zh-CN"/>
              </w:rPr>
            </w:pPr>
            <w:r w:rsidRPr="00374C95">
              <w:rPr>
                <w:rFonts w:cstheme="minorHAnsi"/>
                <w:sz w:val="18"/>
                <w:szCs w:val="18"/>
                <w:lang w:eastAsia="zh-CN"/>
              </w:rPr>
              <w:t>85 and over</w:t>
            </w:r>
          </w:p>
        </w:tc>
        <w:tc>
          <w:tcPr>
            <w:tcW w:w="1235" w:type="pct"/>
            <w:shd w:val="clear" w:color="auto" w:fill="auto"/>
            <w:noWrap/>
          </w:tcPr>
          <w:p w:rsidR="002C2D5C" w:rsidRPr="00374C95" w:rsidRDefault="00ED7A0F" w:rsidP="00C378B2">
            <w:pPr>
              <w:spacing w:line="240" w:lineRule="auto"/>
              <w:jc w:val="both"/>
              <w:rPr>
                <w:rFonts w:cstheme="minorHAnsi"/>
                <w:sz w:val="18"/>
                <w:szCs w:val="18"/>
                <w:lang w:eastAsia="zh-CN"/>
              </w:rPr>
            </w:pPr>
            <w:r>
              <w:rPr>
                <w:rFonts w:cstheme="minorHAnsi"/>
                <w:sz w:val="18"/>
                <w:szCs w:val="18"/>
                <w:lang w:eastAsia="zh-CN"/>
              </w:rPr>
              <w:t>366.7%</w:t>
            </w:r>
          </w:p>
        </w:tc>
        <w:tc>
          <w:tcPr>
            <w:tcW w:w="1235" w:type="pct"/>
            <w:shd w:val="clear" w:color="auto" w:fill="auto"/>
            <w:noWrap/>
          </w:tcPr>
          <w:p w:rsidR="002C2D5C" w:rsidRPr="00374C95" w:rsidRDefault="00ED7A0F" w:rsidP="00C378B2">
            <w:pPr>
              <w:spacing w:line="240" w:lineRule="auto"/>
              <w:jc w:val="both"/>
              <w:rPr>
                <w:rFonts w:cstheme="minorHAnsi"/>
                <w:sz w:val="18"/>
                <w:szCs w:val="18"/>
                <w:lang w:eastAsia="zh-CN"/>
              </w:rPr>
            </w:pPr>
            <w:r>
              <w:rPr>
                <w:rFonts w:cstheme="minorHAnsi"/>
                <w:sz w:val="18"/>
                <w:szCs w:val="18"/>
                <w:lang w:eastAsia="zh-CN"/>
              </w:rPr>
              <w:t>33.0%</w:t>
            </w:r>
          </w:p>
        </w:tc>
        <w:tc>
          <w:tcPr>
            <w:tcW w:w="1235" w:type="pct"/>
          </w:tcPr>
          <w:p w:rsidR="002C2D5C" w:rsidRPr="00374C95" w:rsidRDefault="00ED7A0F" w:rsidP="00C378B2">
            <w:pPr>
              <w:spacing w:line="240" w:lineRule="auto"/>
              <w:jc w:val="both"/>
              <w:rPr>
                <w:rFonts w:cstheme="minorHAnsi"/>
                <w:sz w:val="18"/>
                <w:szCs w:val="18"/>
                <w:lang w:eastAsia="zh-CN"/>
              </w:rPr>
            </w:pPr>
            <w:r>
              <w:rPr>
                <w:rFonts w:cstheme="minorHAnsi"/>
                <w:sz w:val="18"/>
                <w:szCs w:val="18"/>
                <w:lang w:eastAsia="zh-CN"/>
              </w:rPr>
              <w:t>23.7%</w:t>
            </w:r>
          </w:p>
        </w:tc>
      </w:tr>
    </w:tbl>
    <w:p w:rsidR="002C2D5C" w:rsidRPr="00374C95" w:rsidRDefault="002C2D5C" w:rsidP="002C2D5C">
      <w:pPr>
        <w:pStyle w:val="Source"/>
        <w:jc w:val="both"/>
        <w:rPr>
          <w:sz w:val="18"/>
          <w:szCs w:val="18"/>
          <w:lang w:val="en-GB"/>
        </w:rPr>
      </w:pPr>
      <w:r w:rsidRPr="00374C95">
        <w:rPr>
          <w:sz w:val="18"/>
          <w:szCs w:val="18"/>
          <w:lang w:val="en-GB"/>
        </w:rPr>
        <w:t>Source: ONS 2001-2011, AECOM Calculations</w:t>
      </w:r>
    </w:p>
    <w:p w:rsidR="002C2D5C" w:rsidRPr="00C95E06" w:rsidRDefault="002C2D5C" w:rsidP="002C2D5C">
      <w:pPr>
        <w:pStyle w:val="Heading3"/>
        <w:jc w:val="both"/>
        <w:rPr>
          <w:sz w:val="23"/>
          <w:szCs w:val="23"/>
        </w:rPr>
      </w:pPr>
      <w:bookmarkStart w:id="117" w:name="_Toc4428642"/>
      <w:bookmarkStart w:id="118" w:name="_Toc33015869"/>
      <w:r w:rsidRPr="00C95E06">
        <w:t>Household composition</w:t>
      </w:r>
      <w:bookmarkEnd w:id="117"/>
      <w:bookmarkEnd w:id="118"/>
    </w:p>
    <w:p w:rsidR="00CA73BD" w:rsidRDefault="002C2D5C" w:rsidP="002C2D5C">
      <w:pPr>
        <w:pStyle w:val="ListNumber"/>
        <w:spacing w:before="0"/>
        <w:jc w:val="both"/>
        <w:rPr>
          <w:sz w:val="18"/>
          <w:szCs w:val="18"/>
          <w:lang w:val="en-GB"/>
        </w:rPr>
      </w:pPr>
      <w:r w:rsidRPr="00CA73BD">
        <w:rPr>
          <w:sz w:val="18"/>
          <w:szCs w:val="18"/>
          <w:lang w:val="en-GB"/>
        </w:rPr>
        <w:t xml:space="preserve">Household composition </w:t>
      </w:r>
      <w:r w:rsidR="00ED7288" w:rsidRPr="00ED7288">
        <w:rPr>
          <w:sz w:val="18"/>
          <w:szCs w:val="18"/>
          <w:lang w:val="en-GB"/>
        </w:rPr>
        <w:t>(</w:t>
      </w:r>
      <w:proofErr w:type="spellStart"/>
      <w:r w:rsidR="00ED7288" w:rsidRPr="00ED7288">
        <w:rPr>
          <w:sz w:val="18"/>
          <w:szCs w:val="18"/>
          <w:lang w:val="en-GB"/>
        </w:rPr>
        <w:t>i.e</w:t>
      </w:r>
      <w:proofErr w:type="spellEnd"/>
      <w:r w:rsidR="00ED7288" w:rsidRPr="00ED7288">
        <w:rPr>
          <w:sz w:val="18"/>
          <w:szCs w:val="18"/>
          <w:lang w:val="en-GB"/>
        </w:rPr>
        <w:t xml:space="preserve"> the mix of adults and children in a dwelling) </w:t>
      </w:r>
      <w:r w:rsidR="00CA73BD">
        <w:rPr>
          <w:sz w:val="18"/>
          <w:szCs w:val="18"/>
          <w:lang w:val="en-GB"/>
        </w:rPr>
        <w:t>is a</w:t>
      </w:r>
      <w:r w:rsidR="00730887">
        <w:rPr>
          <w:sz w:val="18"/>
          <w:szCs w:val="18"/>
          <w:lang w:val="en-GB"/>
        </w:rPr>
        <w:t xml:space="preserve">nother </w:t>
      </w:r>
      <w:r w:rsidR="00CA73BD">
        <w:rPr>
          <w:sz w:val="18"/>
          <w:szCs w:val="18"/>
          <w:lang w:val="en-GB"/>
        </w:rPr>
        <w:t xml:space="preserve">factor driving the size (and to an extent, the type) of housing needed over the Neighbourhood Plan period. </w:t>
      </w:r>
    </w:p>
    <w:p w:rsidR="002C2D5C" w:rsidRPr="00CA73BD" w:rsidRDefault="00CA73BD" w:rsidP="002C2D5C">
      <w:pPr>
        <w:pStyle w:val="ListNumber"/>
        <w:spacing w:before="0"/>
        <w:jc w:val="both"/>
        <w:rPr>
          <w:sz w:val="18"/>
          <w:szCs w:val="18"/>
          <w:lang w:val="en-GB"/>
        </w:rPr>
      </w:pPr>
      <w:r>
        <w:rPr>
          <w:sz w:val="18"/>
          <w:szCs w:val="18"/>
          <w:lang w:val="en-GB"/>
        </w:rPr>
        <w:t xml:space="preserve">In assessing Census data on household composition, we see that </w:t>
      </w:r>
      <w:r w:rsidR="001E0942">
        <w:rPr>
          <w:sz w:val="18"/>
          <w:szCs w:val="18"/>
          <w:lang w:val="en-GB"/>
        </w:rPr>
        <w:t>Reedham</w:t>
      </w:r>
      <w:r w:rsidR="002C2D5C" w:rsidRPr="00CA73BD">
        <w:rPr>
          <w:sz w:val="18"/>
          <w:szCs w:val="18"/>
          <w:lang w:val="en-GB"/>
        </w:rPr>
        <w:t xml:space="preserve"> differs from the </w:t>
      </w:r>
      <w:r w:rsidR="00730887">
        <w:rPr>
          <w:sz w:val="18"/>
          <w:szCs w:val="18"/>
          <w:lang w:val="en-GB"/>
        </w:rPr>
        <w:t>district</w:t>
      </w:r>
      <w:r w:rsidR="002C2D5C" w:rsidRPr="00CA73BD">
        <w:rPr>
          <w:sz w:val="18"/>
          <w:szCs w:val="18"/>
          <w:lang w:val="en-GB"/>
        </w:rPr>
        <w:t xml:space="preserve"> in that there are </w:t>
      </w:r>
      <w:r w:rsidR="00F366EA">
        <w:rPr>
          <w:sz w:val="18"/>
          <w:szCs w:val="18"/>
          <w:lang w:val="en-GB"/>
        </w:rPr>
        <w:t>marginally fewer single-person households</w:t>
      </w:r>
      <w:r w:rsidR="00A51259">
        <w:rPr>
          <w:sz w:val="18"/>
          <w:szCs w:val="18"/>
          <w:lang w:val="en-GB"/>
        </w:rPr>
        <w:t>. Rates of households with one family and dependent children are slightly lower than district and national rates, yet rates of households with one family and no children is higher than at district and national level</w:t>
      </w:r>
      <w:r w:rsidR="002C2D5C" w:rsidRPr="00CA73BD">
        <w:rPr>
          <w:sz w:val="18"/>
          <w:szCs w:val="18"/>
          <w:lang w:val="en-GB"/>
        </w:rPr>
        <w:t xml:space="preserve"> (</w:t>
      </w:r>
      <w:fldSimple w:instr=" REF _Ref2603055 \h  \* MERGEFORMAT ">
        <w:r w:rsidR="00E14AFB" w:rsidRPr="002D4F56">
          <w:rPr>
            <w:sz w:val="18"/>
            <w:szCs w:val="18"/>
          </w:rPr>
          <w:t xml:space="preserve">Table </w:t>
        </w:r>
        <w:r w:rsidR="00E14AFB">
          <w:rPr>
            <w:noProof/>
            <w:sz w:val="18"/>
            <w:szCs w:val="18"/>
          </w:rPr>
          <w:t>6</w:t>
        </w:r>
        <w:r w:rsidR="00E14AFB" w:rsidRPr="002D4F56">
          <w:rPr>
            <w:noProof/>
            <w:sz w:val="18"/>
            <w:szCs w:val="18"/>
          </w:rPr>
          <w:noBreakHyphen/>
        </w:r>
        <w:r w:rsidR="00E14AFB">
          <w:rPr>
            <w:noProof/>
            <w:sz w:val="18"/>
            <w:szCs w:val="18"/>
          </w:rPr>
          <w:t>7</w:t>
        </w:r>
      </w:fldSimple>
      <w:r w:rsidR="002C2D5C" w:rsidRPr="00CA73BD">
        <w:rPr>
          <w:sz w:val="18"/>
          <w:szCs w:val="18"/>
          <w:lang w:val="en-GB"/>
        </w:rPr>
        <w:t xml:space="preserve">). </w:t>
      </w:r>
      <w:bookmarkStart w:id="119" w:name="_Hlk20150984"/>
      <w:r w:rsidR="0040775E">
        <w:rPr>
          <w:sz w:val="18"/>
          <w:szCs w:val="18"/>
          <w:lang w:val="en-GB"/>
        </w:rPr>
        <w:t>Note that non-dependent children refer to households in which adult children are living at home, or students still call their primary residence despite living for most of the year near to university</w:t>
      </w:r>
      <w:r w:rsidR="00915935">
        <w:rPr>
          <w:sz w:val="18"/>
          <w:szCs w:val="18"/>
          <w:lang w:val="en-GB"/>
        </w:rPr>
        <w:t>.</w:t>
      </w:r>
      <w:r w:rsidR="0040775E">
        <w:rPr>
          <w:sz w:val="18"/>
          <w:szCs w:val="18"/>
          <w:lang w:val="en-GB"/>
        </w:rPr>
        <w:t xml:space="preserve"> </w:t>
      </w:r>
      <w:r w:rsidR="00915935">
        <w:rPr>
          <w:sz w:val="18"/>
          <w:szCs w:val="18"/>
          <w:lang w:val="en-GB"/>
        </w:rPr>
        <w:t>T</w:t>
      </w:r>
      <w:r w:rsidR="0040775E">
        <w:rPr>
          <w:sz w:val="18"/>
          <w:szCs w:val="18"/>
          <w:lang w:val="en-GB"/>
        </w:rPr>
        <w:t>hough this category can often indicate the relative unaffordability of entry-level homes in an area as many such young people may wish to move out and form their own households if they were financially able.</w:t>
      </w:r>
      <w:bookmarkEnd w:id="119"/>
      <w:r w:rsidR="00F366EA">
        <w:rPr>
          <w:sz w:val="18"/>
          <w:szCs w:val="18"/>
          <w:lang w:val="en-GB"/>
        </w:rPr>
        <w:t xml:space="preserve"> It is, however, comparatively low in Reedham.</w:t>
      </w:r>
    </w:p>
    <w:p w:rsidR="002C2D5C" w:rsidRPr="002D4F56" w:rsidRDefault="002C2D5C" w:rsidP="002C2D5C">
      <w:pPr>
        <w:pStyle w:val="Caption"/>
        <w:jc w:val="both"/>
        <w:rPr>
          <w:sz w:val="18"/>
          <w:szCs w:val="18"/>
        </w:rPr>
      </w:pPr>
      <w:bookmarkStart w:id="120" w:name="_Ref2603055"/>
      <w:r w:rsidRPr="002D4F56">
        <w:rPr>
          <w:sz w:val="18"/>
          <w:szCs w:val="18"/>
        </w:rPr>
        <w:t xml:space="preserve">Table </w:t>
      </w:r>
      <w:r w:rsidR="001A69AC" w:rsidRPr="002D4F56">
        <w:rPr>
          <w:noProof/>
          <w:sz w:val="18"/>
          <w:szCs w:val="18"/>
        </w:rPr>
        <w:fldChar w:fldCharType="begin"/>
      </w:r>
      <w:r w:rsidRPr="002D4F56">
        <w:rPr>
          <w:noProof/>
          <w:sz w:val="18"/>
          <w:szCs w:val="18"/>
        </w:rPr>
        <w:instrText xml:space="preserve"> STYLEREF 1 \s </w:instrText>
      </w:r>
      <w:r w:rsidR="001A69AC" w:rsidRPr="002D4F56">
        <w:rPr>
          <w:noProof/>
          <w:sz w:val="18"/>
          <w:szCs w:val="18"/>
        </w:rPr>
        <w:fldChar w:fldCharType="separate"/>
      </w:r>
      <w:r w:rsidR="00E14AFB">
        <w:rPr>
          <w:noProof/>
          <w:sz w:val="18"/>
          <w:szCs w:val="18"/>
        </w:rPr>
        <w:t>6</w:t>
      </w:r>
      <w:r w:rsidR="001A69AC" w:rsidRPr="002D4F56">
        <w:rPr>
          <w:noProof/>
          <w:sz w:val="18"/>
          <w:szCs w:val="18"/>
        </w:rPr>
        <w:fldChar w:fldCharType="end"/>
      </w:r>
      <w:r w:rsidRPr="002D4F56">
        <w:rPr>
          <w:sz w:val="18"/>
          <w:szCs w:val="18"/>
        </w:rPr>
        <w:noBreakHyphen/>
      </w:r>
      <w:r w:rsidR="001A69AC" w:rsidRPr="002D4F56">
        <w:rPr>
          <w:noProof/>
          <w:sz w:val="18"/>
          <w:szCs w:val="18"/>
        </w:rPr>
        <w:fldChar w:fldCharType="begin"/>
      </w:r>
      <w:r w:rsidRPr="002D4F56">
        <w:rPr>
          <w:noProof/>
          <w:sz w:val="18"/>
          <w:szCs w:val="18"/>
        </w:rPr>
        <w:instrText xml:space="preserve"> SEQ Table \* ARABIC \s 1 </w:instrText>
      </w:r>
      <w:r w:rsidR="001A69AC" w:rsidRPr="002D4F56">
        <w:rPr>
          <w:noProof/>
          <w:sz w:val="18"/>
          <w:szCs w:val="18"/>
        </w:rPr>
        <w:fldChar w:fldCharType="separate"/>
      </w:r>
      <w:r w:rsidR="00E14AFB">
        <w:rPr>
          <w:noProof/>
          <w:sz w:val="18"/>
          <w:szCs w:val="18"/>
        </w:rPr>
        <w:t>7</w:t>
      </w:r>
      <w:r w:rsidR="001A69AC" w:rsidRPr="002D4F56">
        <w:rPr>
          <w:noProof/>
          <w:sz w:val="18"/>
          <w:szCs w:val="18"/>
        </w:rPr>
        <w:fldChar w:fldCharType="end"/>
      </w:r>
      <w:bookmarkEnd w:id="120"/>
      <w:r w:rsidRPr="002D4F56">
        <w:rPr>
          <w:noProof/>
          <w:sz w:val="18"/>
          <w:szCs w:val="18"/>
        </w:rPr>
        <w:t xml:space="preserve">: </w:t>
      </w:r>
      <w:r w:rsidRPr="002D4F56">
        <w:rPr>
          <w:sz w:val="18"/>
          <w:szCs w:val="18"/>
        </w:rPr>
        <w:t xml:space="preserve">Household composition (by household), </w:t>
      </w:r>
      <w:r w:rsidR="003D2636">
        <w:rPr>
          <w:sz w:val="18"/>
          <w:szCs w:val="18"/>
        </w:rPr>
        <w:t>Reedham</w:t>
      </w:r>
      <w:r w:rsidR="002D4F56">
        <w:rPr>
          <w:sz w:val="18"/>
          <w:szCs w:val="18"/>
        </w:rPr>
        <w:t xml:space="preserve">, </w:t>
      </w:r>
      <w:r w:rsidRPr="002D4F56">
        <w:rPr>
          <w:sz w:val="18"/>
          <w:szCs w:val="18"/>
        </w:rPr>
        <w:t>2011</w:t>
      </w:r>
    </w:p>
    <w:tbl>
      <w:tblPr>
        <w:tblW w:w="4791"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03"/>
        <w:gridCol w:w="2589"/>
        <w:gridCol w:w="1446"/>
        <w:gridCol w:w="1446"/>
        <w:gridCol w:w="1446"/>
      </w:tblGrid>
      <w:tr w:rsidR="002C2D5C" w:rsidRPr="00374C95" w:rsidTr="003D2636">
        <w:trPr>
          <w:trHeight w:val="288"/>
        </w:trPr>
        <w:tc>
          <w:tcPr>
            <w:tcW w:w="1403" w:type="pct"/>
            <w:tcBorders>
              <w:bottom w:val="single" w:sz="4" w:space="0" w:color="auto"/>
            </w:tcBorders>
            <w:shd w:val="clear" w:color="auto" w:fill="000000" w:themeFill="text1"/>
            <w:noWrap/>
            <w:vAlign w:val="center"/>
            <w:hideMark/>
          </w:tcPr>
          <w:p w:rsidR="002C2D5C" w:rsidRPr="00374C95" w:rsidRDefault="002C2D5C" w:rsidP="00C378B2">
            <w:pPr>
              <w:spacing w:line="240" w:lineRule="auto"/>
              <w:jc w:val="both"/>
              <w:rPr>
                <w:rFonts w:cstheme="minorHAnsi"/>
                <w:b/>
                <w:color w:val="FFFFFF" w:themeColor="background1"/>
                <w:sz w:val="18"/>
                <w:szCs w:val="18"/>
                <w:highlight w:val="yellow"/>
                <w:lang w:eastAsia="zh-CN"/>
              </w:rPr>
            </w:pPr>
            <w:r w:rsidRPr="00374C95">
              <w:rPr>
                <w:rFonts w:cstheme="minorHAnsi"/>
                <w:b/>
                <w:color w:val="FFFFFF" w:themeColor="background1"/>
                <w:sz w:val="18"/>
                <w:szCs w:val="18"/>
                <w:lang w:eastAsia="zh-CN"/>
              </w:rPr>
              <w:t>Household composition</w:t>
            </w:r>
          </w:p>
        </w:tc>
        <w:tc>
          <w:tcPr>
            <w:tcW w:w="1344" w:type="pct"/>
            <w:shd w:val="clear" w:color="auto" w:fill="000000" w:themeFill="text1"/>
            <w:noWrap/>
            <w:vAlign w:val="center"/>
            <w:hideMark/>
          </w:tcPr>
          <w:p w:rsidR="002C2D5C" w:rsidRPr="00374C95" w:rsidRDefault="002C2D5C" w:rsidP="00C378B2">
            <w:pPr>
              <w:spacing w:line="240" w:lineRule="auto"/>
              <w:jc w:val="both"/>
              <w:rPr>
                <w:rFonts w:cstheme="minorHAnsi"/>
                <w:color w:val="FFFFFF" w:themeColor="background1"/>
                <w:sz w:val="18"/>
                <w:szCs w:val="18"/>
                <w:highlight w:val="yellow"/>
                <w:lang w:eastAsia="zh-CN"/>
              </w:rPr>
            </w:pPr>
          </w:p>
        </w:tc>
        <w:tc>
          <w:tcPr>
            <w:tcW w:w="751" w:type="pct"/>
            <w:shd w:val="clear" w:color="auto" w:fill="000000" w:themeFill="text1"/>
            <w:noWrap/>
            <w:vAlign w:val="center"/>
          </w:tcPr>
          <w:p w:rsidR="002C2D5C" w:rsidRPr="00374C95" w:rsidRDefault="003D2636" w:rsidP="00C378B2">
            <w:pPr>
              <w:spacing w:line="240" w:lineRule="auto"/>
              <w:jc w:val="both"/>
              <w:rPr>
                <w:rFonts w:cstheme="minorHAnsi"/>
                <w:b/>
                <w:bCs/>
                <w:color w:val="FFFFFF" w:themeColor="background1"/>
                <w:sz w:val="18"/>
                <w:szCs w:val="18"/>
                <w:lang w:eastAsia="zh-CN"/>
              </w:rPr>
            </w:pPr>
            <w:r>
              <w:rPr>
                <w:rFonts w:cstheme="minorHAnsi"/>
                <w:b/>
                <w:bCs/>
                <w:color w:val="FFFFFF" w:themeColor="background1"/>
                <w:sz w:val="18"/>
                <w:szCs w:val="18"/>
                <w:lang w:eastAsia="zh-CN"/>
              </w:rPr>
              <w:t>Reedham</w:t>
            </w:r>
          </w:p>
        </w:tc>
        <w:tc>
          <w:tcPr>
            <w:tcW w:w="751" w:type="pct"/>
            <w:shd w:val="clear" w:color="auto" w:fill="000000" w:themeFill="text1"/>
            <w:noWrap/>
            <w:vAlign w:val="center"/>
          </w:tcPr>
          <w:p w:rsidR="002C2D5C" w:rsidRPr="00374C95" w:rsidRDefault="003D2636" w:rsidP="00C378B2">
            <w:pPr>
              <w:spacing w:line="240" w:lineRule="auto"/>
              <w:jc w:val="both"/>
              <w:rPr>
                <w:rFonts w:cstheme="minorHAnsi"/>
                <w:b/>
                <w:bCs/>
                <w:color w:val="FFFFFF" w:themeColor="background1"/>
                <w:sz w:val="18"/>
                <w:szCs w:val="18"/>
                <w:lang w:eastAsia="zh-CN"/>
              </w:rPr>
            </w:pPr>
            <w:r>
              <w:rPr>
                <w:rFonts w:cstheme="minorHAnsi"/>
                <w:b/>
                <w:bCs/>
                <w:color w:val="FFFFFF" w:themeColor="background1"/>
                <w:sz w:val="18"/>
                <w:szCs w:val="18"/>
                <w:lang w:eastAsia="zh-CN"/>
              </w:rPr>
              <w:t>Broadland</w:t>
            </w:r>
          </w:p>
        </w:tc>
        <w:tc>
          <w:tcPr>
            <w:tcW w:w="751" w:type="pct"/>
            <w:shd w:val="clear" w:color="auto" w:fill="000000" w:themeFill="text1"/>
            <w:noWrap/>
            <w:vAlign w:val="center"/>
          </w:tcPr>
          <w:p w:rsidR="002C2D5C" w:rsidRPr="00374C95" w:rsidRDefault="003D2636" w:rsidP="00C378B2">
            <w:pPr>
              <w:spacing w:line="240" w:lineRule="auto"/>
              <w:jc w:val="both"/>
              <w:rPr>
                <w:rFonts w:cstheme="minorHAnsi"/>
                <w:b/>
                <w:bCs/>
                <w:color w:val="FFFFFF" w:themeColor="background1"/>
                <w:sz w:val="18"/>
                <w:szCs w:val="18"/>
                <w:lang w:eastAsia="zh-CN"/>
              </w:rPr>
            </w:pPr>
            <w:r>
              <w:rPr>
                <w:rFonts w:cstheme="minorHAnsi"/>
                <w:b/>
                <w:bCs/>
                <w:color w:val="FFFFFF" w:themeColor="background1"/>
                <w:sz w:val="18"/>
                <w:szCs w:val="18"/>
                <w:lang w:eastAsia="zh-CN"/>
              </w:rPr>
              <w:t>England</w:t>
            </w:r>
          </w:p>
        </w:tc>
      </w:tr>
      <w:tr w:rsidR="002C2D5C" w:rsidRPr="00374C95" w:rsidTr="003D2636">
        <w:trPr>
          <w:trHeight w:val="288"/>
        </w:trPr>
        <w:tc>
          <w:tcPr>
            <w:tcW w:w="1403" w:type="pct"/>
            <w:tcBorders>
              <w:top w:val="single" w:sz="4" w:space="0" w:color="auto"/>
              <w:left w:val="single" w:sz="4" w:space="0" w:color="auto"/>
              <w:bottom w:val="nil"/>
              <w:right w:val="single" w:sz="4" w:space="0" w:color="auto"/>
            </w:tcBorders>
            <w:shd w:val="clear" w:color="auto" w:fill="auto"/>
            <w:noWrap/>
            <w:vAlign w:val="center"/>
            <w:hideMark/>
          </w:tcPr>
          <w:p w:rsidR="002C2D5C" w:rsidRPr="00374C95" w:rsidRDefault="002C2D5C" w:rsidP="00C378B2">
            <w:pPr>
              <w:spacing w:line="240" w:lineRule="auto"/>
              <w:jc w:val="both"/>
              <w:rPr>
                <w:rFonts w:cstheme="minorHAnsi"/>
                <w:b/>
                <w:sz w:val="18"/>
                <w:szCs w:val="18"/>
                <w:lang w:eastAsia="zh-CN"/>
              </w:rPr>
            </w:pPr>
            <w:r w:rsidRPr="00374C95">
              <w:rPr>
                <w:rFonts w:cstheme="minorHAnsi"/>
                <w:b/>
                <w:sz w:val="18"/>
                <w:szCs w:val="18"/>
                <w:lang w:eastAsia="zh-CN"/>
              </w:rPr>
              <w:t>One person household</w:t>
            </w:r>
          </w:p>
        </w:tc>
        <w:tc>
          <w:tcPr>
            <w:tcW w:w="1344" w:type="pct"/>
            <w:tcBorders>
              <w:left w:val="single" w:sz="4" w:space="0" w:color="auto"/>
            </w:tcBorders>
            <w:shd w:val="clear" w:color="auto" w:fill="auto"/>
            <w:noWrap/>
            <w:vAlign w:val="center"/>
            <w:hideMark/>
          </w:tcPr>
          <w:p w:rsidR="002C2D5C" w:rsidRPr="00374C95" w:rsidRDefault="002C2D5C" w:rsidP="00C378B2">
            <w:pPr>
              <w:spacing w:line="240" w:lineRule="auto"/>
              <w:jc w:val="both"/>
              <w:rPr>
                <w:rFonts w:cstheme="minorHAnsi"/>
                <w:b/>
                <w:sz w:val="18"/>
                <w:szCs w:val="18"/>
                <w:lang w:eastAsia="zh-CN"/>
              </w:rPr>
            </w:pPr>
            <w:r w:rsidRPr="00374C95">
              <w:rPr>
                <w:rFonts w:cstheme="minorHAnsi"/>
                <w:b/>
                <w:sz w:val="18"/>
                <w:szCs w:val="18"/>
                <w:lang w:eastAsia="zh-CN"/>
              </w:rPr>
              <w:t>Total</w:t>
            </w:r>
          </w:p>
        </w:tc>
        <w:tc>
          <w:tcPr>
            <w:tcW w:w="751" w:type="pct"/>
            <w:shd w:val="clear" w:color="auto" w:fill="auto"/>
            <w:noWrap/>
          </w:tcPr>
          <w:p w:rsidR="002C2D5C" w:rsidRPr="009C6ED3" w:rsidRDefault="009C6ED3" w:rsidP="00C378B2">
            <w:pPr>
              <w:spacing w:line="240" w:lineRule="auto"/>
              <w:jc w:val="both"/>
              <w:rPr>
                <w:rFonts w:cstheme="minorHAnsi"/>
                <w:b/>
                <w:color w:val="auto"/>
                <w:sz w:val="18"/>
                <w:szCs w:val="18"/>
                <w:lang w:eastAsia="zh-CN"/>
              </w:rPr>
            </w:pPr>
            <w:r w:rsidRPr="009C6ED3">
              <w:rPr>
                <w:rFonts w:cstheme="minorHAnsi"/>
                <w:b/>
                <w:color w:val="auto"/>
                <w:sz w:val="18"/>
                <w:szCs w:val="18"/>
                <w:lang w:eastAsia="zh-CN"/>
              </w:rPr>
              <w:t>24.6%</w:t>
            </w:r>
          </w:p>
        </w:tc>
        <w:tc>
          <w:tcPr>
            <w:tcW w:w="751" w:type="pct"/>
            <w:shd w:val="clear" w:color="auto" w:fill="auto"/>
            <w:noWrap/>
          </w:tcPr>
          <w:p w:rsidR="002C2D5C" w:rsidRPr="009C6ED3" w:rsidRDefault="009C6ED3" w:rsidP="00C378B2">
            <w:pPr>
              <w:spacing w:line="240" w:lineRule="auto"/>
              <w:jc w:val="both"/>
              <w:rPr>
                <w:rFonts w:cstheme="minorHAnsi"/>
                <w:b/>
                <w:sz w:val="18"/>
                <w:szCs w:val="18"/>
                <w:lang w:eastAsia="zh-CN"/>
              </w:rPr>
            </w:pPr>
            <w:r w:rsidRPr="009C6ED3">
              <w:rPr>
                <w:rFonts w:cstheme="minorHAnsi"/>
                <w:b/>
                <w:sz w:val="18"/>
                <w:szCs w:val="18"/>
                <w:lang w:eastAsia="zh-CN"/>
              </w:rPr>
              <w:t>26.4%</w:t>
            </w:r>
          </w:p>
        </w:tc>
        <w:tc>
          <w:tcPr>
            <w:tcW w:w="751" w:type="pct"/>
            <w:shd w:val="clear" w:color="auto" w:fill="auto"/>
            <w:noWrap/>
          </w:tcPr>
          <w:p w:rsidR="002C2D5C" w:rsidRPr="009C6ED3" w:rsidRDefault="009C6ED3" w:rsidP="00C378B2">
            <w:pPr>
              <w:spacing w:line="240" w:lineRule="auto"/>
              <w:jc w:val="both"/>
              <w:rPr>
                <w:rFonts w:cstheme="minorHAnsi"/>
                <w:b/>
                <w:sz w:val="18"/>
                <w:szCs w:val="18"/>
                <w:lang w:eastAsia="zh-CN"/>
              </w:rPr>
            </w:pPr>
            <w:r w:rsidRPr="009C6ED3">
              <w:rPr>
                <w:rFonts w:cstheme="minorHAnsi"/>
                <w:b/>
                <w:sz w:val="18"/>
                <w:szCs w:val="18"/>
                <w:lang w:eastAsia="zh-CN"/>
              </w:rPr>
              <w:t>30.2%</w:t>
            </w:r>
          </w:p>
        </w:tc>
      </w:tr>
      <w:tr w:rsidR="002C2D5C" w:rsidRPr="00374C95" w:rsidTr="003D2636">
        <w:trPr>
          <w:trHeight w:val="288"/>
        </w:trPr>
        <w:tc>
          <w:tcPr>
            <w:tcW w:w="1403" w:type="pct"/>
            <w:tcBorders>
              <w:top w:val="nil"/>
              <w:left w:val="single" w:sz="4" w:space="0" w:color="auto"/>
              <w:bottom w:val="nil"/>
              <w:right w:val="single" w:sz="4" w:space="0" w:color="auto"/>
            </w:tcBorders>
            <w:shd w:val="clear" w:color="auto" w:fill="auto"/>
            <w:noWrap/>
            <w:vAlign w:val="center"/>
            <w:hideMark/>
          </w:tcPr>
          <w:p w:rsidR="002C2D5C" w:rsidRPr="00374C95" w:rsidRDefault="002C2D5C" w:rsidP="00C378B2">
            <w:pPr>
              <w:spacing w:line="240" w:lineRule="auto"/>
              <w:jc w:val="both"/>
              <w:rPr>
                <w:rFonts w:cstheme="minorHAnsi"/>
                <w:sz w:val="18"/>
                <w:szCs w:val="18"/>
                <w:lang w:eastAsia="zh-CN"/>
              </w:rPr>
            </w:pPr>
          </w:p>
        </w:tc>
        <w:tc>
          <w:tcPr>
            <w:tcW w:w="1344" w:type="pct"/>
            <w:tcBorders>
              <w:left w:val="single" w:sz="4" w:space="0" w:color="auto"/>
            </w:tcBorders>
            <w:shd w:val="clear" w:color="auto" w:fill="auto"/>
            <w:noWrap/>
            <w:vAlign w:val="center"/>
            <w:hideMark/>
          </w:tcPr>
          <w:p w:rsidR="002C2D5C" w:rsidRPr="00374C95" w:rsidRDefault="002C2D5C" w:rsidP="00C378B2">
            <w:pPr>
              <w:spacing w:line="240" w:lineRule="auto"/>
              <w:jc w:val="both"/>
              <w:rPr>
                <w:rFonts w:cstheme="minorHAnsi"/>
                <w:sz w:val="18"/>
                <w:szCs w:val="18"/>
                <w:lang w:eastAsia="zh-CN"/>
              </w:rPr>
            </w:pPr>
            <w:r w:rsidRPr="00374C95">
              <w:rPr>
                <w:rFonts w:cstheme="minorHAnsi"/>
                <w:sz w:val="18"/>
                <w:szCs w:val="18"/>
                <w:lang w:eastAsia="zh-CN"/>
              </w:rPr>
              <w:t>Aged 65 and over</w:t>
            </w:r>
          </w:p>
        </w:tc>
        <w:tc>
          <w:tcPr>
            <w:tcW w:w="751" w:type="pct"/>
            <w:shd w:val="clear" w:color="auto" w:fill="auto"/>
            <w:noWrap/>
          </w:tcPr>
          <w:p w:rsidR="002C2D5C" w:rsidRPr="009C6ED3" w:rsidRDefault="009C6ED3" w:rsidP="00C378B2">
            <w:pPr>
              <w:spacing w:line="240" w:lineRule="auto"/>
              <w:jc w:val="both"/>
              <w:rPr>
                <w:rFonts w:cstheme="minorHAnsi"/>
                <w:sz w:val="18"/>
                <w:szCs w:val="18"/>
                <w:lang w:eastAsia="zh-CN"/>
              </w:rPr>
            </w:pPr>
            <w:r w:rsidRPr="009C6ED3">
              <w:rPr>
                <w:rFonts w:cstheme="minorHAnsi"/>
                <w:sz w:val="18"/>
                <w:szCs w:val="18"/>
                <w:lang w:eastAsia="zh-CN"/>
              </w:rPr>
              <w:t>11.9%</w:t>
            </w:r>
          </w:p>
        </w:tc>
        <w:tc>
          <w:tcPr>
            <w:tcW w:w="751" w:type="pct"/>
            <w:shd w:val="clear" w:color="auto" w:fill="auto"/>
            <w:noWrap/>
          </w:tcPr>
          <w:p w:rsidR="002C2D5C" w:rsidRPr="009C6ED3" w:rsidRDefault="009C6ED3" w:rsidP="00C378B2">
            <w:pPr>
              <w:spacing w:line="240" w:lineRule="auto"/>
              <w:jc w:val="both"/>
              <w:rPr>
                <w:rFonts w:cstheme="minorHAnsi"/>
                <w:sz w:val="18"/>
                <w:szCs w:val="18"/>
                <w:lang w:eastAsia="zh-CN"/>
              </w:rPr>
            </w:pPr>
            <w:r w:rsidRPr="009C6ED3">
              <w:rPr>
                <w:rFonts w:cstheme="minorHAnsi"/>
                <w:sz w:val="18"/>
                <w:szCs w:val="18"/>
                <w:lang w:eastAsia="zh-CN"/>
              </w:rPr>
              <w:t>14.1%</w:t>
            </w:r>
          </w:p>
        </w:tc>
        <w:tc>
          <w:tcPr>
            <w:tcW w:w="751" w:type="pct"/>
            <w:shd w:val="clear" w:color="auto" w:fill="auto"/>
            <w:noWrap/>
          </w:tcPr>
          <w:p w:rsidR="002C2D5C" w:rsidRPr="009C6ED3" w:rsidRDefault="009C6ED3" w:rsidP="00C378B2">
            <w:pPr>
              <w:spacing w:line="240" w:lineRule="auto"/>
              <w:jc w:val="both"/>
              <w:rPr>
                <w:rFonts w:cstheme="minorHAnsi"/>
                <w:sz w:val="18"/>
                <w:szCs w:val="18"/>
                <w:lang w:eastAsia="zh-CN"/>
              </w:rPr>
            </w:pPr>
            <w:r w:rsidRPr="009C6ED3">
              <w:rPr>
                <w:rFonts w:cstheme="minorHAnsi"/>
                <w:sz w:val="18"/>
                <w:szCs w:val="18"/>
                <w:lang w:eastAsia="zh-CN"/>
              </w:rPr>
              <w:t>12.4%</w:t>
            </w:r>
          </w:p>
        </w:tc>
      </w:tr>
      <w:tr w:rsidR="002C2D5C" w:rsidRPr="00374C95" w:rsidTr="003D2636">
        <w:trPr>
          <w:trHeight w:val="288"/>
        </w:trPr>
        <w:tc>
          <w:tcPr>
            <w:tcW w:w="1403" w:type="pct"/>
            <w:tcBorders>
              <w:top w:val="nil"/>
              <w:left w:val="single" w:sz="4" w:space="0" w:color="auto"/>
              <w:bottom w:val="single" w:sz="4" w:space="0" w:color="auto"/>
              <w:right w:val="single" w:sz="4" w:space="0" w:color="auto"/>
            </w:tcBorders>
            <w:shd w:val="clear" w:color="auto" w:fill="auto"/>
            <w:noWrap/>
            <w:vAlign w:val="center"/>
            <w:hideMark/>
          </w:tcPr>
          <w:p w:rsidR="002C2D5C" w:rsidRPr="00374C95" w:rsidRDefault="002C2D5C" w:rsidP="00C378B2">
            <w:pPr>
              <w:spacing w:line="240" w:lineRule="auto"/>
              <w:jc w:val="both"/>
              <w:rPr>
                <w:rFonts w:cstheme="minorHAnsi"/>
                <w:sz w:val="18"/>
                <w:szCs w:val="18"/>
                <w:lang w:eastAsia="zh-CN"/>
              </w:rPr>
            </w:pPr>
          </w:p>
        </w:tc>
        <w:tc>
          <w:tcPr>
            <w:tcW w:w="1344" w:type="pct"/>
            <w:tcBorders>
              <w:left w:val="single" w:sz="4" w:space="0" w:color="auto"/>
            </w:tcBorders>
            <w:shd w:val="clear" w:color="auto" w:fill="auto"/>
            <w:noWrap/>
            <w:vAlign w:val="center"/>
            <w:hideMark/>
          </w:tcPr>
          <w:p w:rsidR="002C2D5C" w:rsidRPr="00374C95" w:rsidRDefault="002C2D5C" w:rsidP="00C378B2">
            <w:pPr>
              <w:spacing w:line="240" w:lineRule="auto"/>
              <w:jc w:val="both"/>
              <w:rPr>
                <w:rFonts w:cstheme="minorHAnsi"/>
                <w:sz w:val="18"/>
                <w:szCs w:val="18"/>
                <w:lang w:eastAsia="zh-CN"/>
              </w:rPr>
            </w:pPr>
            <w:r w:rsidRPr="00374C95">
              <w:rPr>
                <w:rFonts w:cstheme="minorHAnsi"/>
                <w:sz w:val="18"/>
                <w:szCs w:val="18"/>
                <w:lang w:eastAsia="zh-CN"/>
              </w:rPr>
              <w:t>Other</w:t>
            </w:r>
          </w:p>
        </w:tc>
        <w:tc>
          <w:tcPr>
            <w:tcW w:w="751" w:type="pct"/>
            <w:shd w:val="clear" w:color="auto" w:fill="auto"/>
            <w:noWrap/>
          </w:tcPr>
          <w:p w:rsidR="002C2D5C" w:rsidRPr="009C6ED3" w:rsidRDefault="009C6ED3" w:rsidP="00C378B2">
            <w:pPr>
              <w:spacing w:line="240" w:lineRule="auto"/>
              <w:jc w:val="both"/>
              <w:rPr>
                <w:rFonts w:cstheme="minorHAnsi"/>
                <w:sz w:val="18"/>
                <w:szCs w:val="18"/>
                <w:lang w:eastAsia="zh-CN"/>
              </w:rPr>
            </w:pPr>
            <w:r w:rsidRPr="009C6ED3">
              <w:rPr>
                <w:rFonts w:cstheme="minorHAnsi"/>
                <w:sz w:val="18"/>
                <w:szCs w:val="18"/>
                <w:lang w:eastAsia="zh-CN"/>
              </w:rPr>
              <w:t>12.7%</w:t>
            </w:r>
          </w:p>
        </w:tc>
        <w:tc>
          <w:tcPr>
            <w:tcW w:w="751" w:type="pct"/>
            <w:shd w:val="clear" w:color="auto" w:fill="auto"/>
            <w:noWrap/>
          </w:tcPr>
          <w:p w:rsidR="002C2D5C" w:rsidRPr="009C6ED3" w:rsidRDefault="009C6ED3" w:rsidP="00C378B2">
            <w:pPr>
              <w:spacing w:line="240" w:lineRule="auto"/>
              <w:jc w:val="both"/>
              <w:rPr>
                <w:rFonts w:cstheme="minorHAnsi"/>
                <w:sz w:val="18"/>
                <w:szCs w:val="18"/>
                <w:lang w:eastAsia="zh-CN"/>
              </w:rPr>
            </w:pPr>
            <w:r w:rsidRPr="009C6ED3">
              <w:rPr>
                <w:rFonts w:cstheme="minorHAnsi"/>
                <w:sz w:val="18"/>
                <w:szCs w:val="18"/>
                <w:lang w:eastAsia="zh-CN"/>
              </w:rPr>
              <w:t>12.3%</w:t>
            </w:r>
          </w:p>
        </w:tc>
        <w:tc>
          <w:tcPr>
            <w:tcW w:w="751" w:type="pct"/>
            <w:shd w:val="clear" w:color="auto" w:fill="auto"/>
            <w:noWrap/>
          </w:tcPr>
          <w:p w:rsidR="002C2D5C" w:rsidRPr="009C6ED3" w:rsidRDefault="009C6ED3" w:rsidP="00C378B2">
            <w:pPr>
              <w:spacing w:line="240" w:lineRule="auto"/>
              <w:jc w:val="both"/>
              <w:rPr>
                <w:rFonts w:cstheme="minorHAnsi"/>
                <w:sz w:val="18"/>
                <w:szCs w:val="18"/>
                <w:lang w:eastAsia="zh-CN"/>
              </w:rPr>
            </w:pPr>
            <w:r w:rsidRPr="009C6ED3">
              <w:rPr>
                <w:rFonts w:cstheme="minorHAnsi"/>
                <w:sz w:val="18"/>
                <w:szCs w:val="18"/>
                <w:lang w:eastAsia="zh-CN"/>
              </w:rPr>
              <w:t>17.9%</w:t>
            </w:r>
          </w:p>
        </w:tc>
      </w:tr>
      <w:tr w:rsidR="002C2D5C" w:rsidRPr="00374C95" w:rsidTr="003D2636">
        <w:trPr>
          <w:trHeight w:val="288"/>
        </w:trPr>
        <w:tc>
          <w:tcPr>
            <w:tcW w:w="1403" w:type="pct"/>
            <w:tcBorders>
              <w:top w:val="single" w:sz="4" w:space="0" w:color="auto"/>
              <w:left w:val="single" w:sz="4" w:space="0" w:color="auto"/>
              <w:bottom w:val="nil"/>
              <w:right w:val="single" w:sz="4" w:space="0" w:color="auto"/>
            </w:tcBorders>
            <w:shd w:val="clear" w:color="auto" w:fill="auto"/>
            <w:noWrap/>
            <w:vAlign w:val="center"/>
            <w:hideMark/>
          </w:tcPr>
          <w:p w:rsidR="002C2D5C" w:rsidRPr="00374C95" w:rsidRDefault="002C2D5C" w:rsidP="00C378B2">
            <w:pPr>
              <w:spacing w:line="240" w:lineRule="auto"/>
              <w:jc w:val="both"/>
              <w:rPr>
                <w:rFonts w:cstheme="minorHAnsi"/>
                <w:b/>
                <w:sz w:val="18"/>
                <w:szCs w:val="18"/>
                <w:lang w:eastAsia="zh-CN"/>
              </w:rPr>
            </w:pPr>
            <w:r w:rsidRPr="00374C95">
              <w:rPr>
                <w:rFonts w:cstheme="minorHAnsi"/>
                <w:b/>
                <w:sz w:val="18"/>
                <w:szCs w:val="18"/>
                <w:lang w:eastAsia="zh-CN"/>
              </w:rPr>
              <w:t>One family only</w:t>
            </w:r>
          </w:p>
        </w:tc>
        <w:tc>
          <w:tcPr>
            <w:tcW w:w="1344" w:type="pct"/>
            <w:tcBorders>
              <w:left w:val="single" w:sz="4" w:space="0" w:color="auto"/>
            </w:tcBorders>
            <w:shd w:val="clear" w:color="auto" w:fill="auto"/>
            <w:noWrap/>
            <w:vAlign w:val="center"/>
            <w:hideMark/>
          </w:tcPr>
          <w:p w:rsidR="002C2D5C" w:rsidRPr="00374C95" w:rsidRDefault="002C2D5C" w:rsidP="00C378B2">
            <w:pPr>
              <w:spacing w:line="240" w:lineRule="auto"/>
              <w:jc w:val="both"/>
              <w:rPr>
                <w:rFonts w:cstheme="minorHAnsi"/>
                <w:b/>
                <w:sz w:val="18"/>
                <w:szCs w:val="18"/>
                <w:lang w:eastAsia="zh-CN"/>
              </w:rPr>
            </w:pPr>
            <w:r w:rsidRPr="00374C95">
              <w:rPr>
                <w:rFonts w:cstheme="minorHAnsi"/>
                <w:b/>
                <w:sz w:val="18"/>
                <w:szCs w:val="18"/>
                <w:lang w:eastAsia="zh-CN"/>
              </w:rPr>
              <w:t>Total</w:t>
            </w:r>
          </w:p>
        </w:tc>
        <w:tc>
          <w:tcPr>
            <w:tcW w:w="751" w:type="pct"/>
            <w:shd w:val="clear" w:color="auto" w:fill="auto"/>
            <w:noWrap/>
          </w:tcPr>
          <w:p w:rsidR="002C2D5C" w:rsidRPr="009C6ED3" w:rsidRDefault="009C6ED3" w:rsidP="00C378B2">
            <w:pPr>
              <w:spacing w:line="240" w:lineRule="auto"/>
              <w:jc w:val="both"/>
              <w:rPr>
                <w:rFonts w:cstheme="minorHAnsi"/>
                <w:b/>
                <w:sz w:val="18"/>
                <w:szCs w:val="18"/>
                <w:lang w:eastAsia="zh-CN"/>
              </w:rPr>
            </w:pPr>
            <w:r w:rsidRPr="009C6ED3">
              <w:rPr>
                <w:rFonts w:cstheme="minorHAnsi"/>
                <w:b/>
                <w:sz w:val="18"/>
                <w:szCs w:val="18"/>
                <w:lang w:eastAsia="zh-CN"/>
              </w:rPr>
              <w:t>69.9%</w:t>
            </w:r>
          </w:p>
        </w:tc>
        <w:tc>
          <w:tcPr>
            <w:tcW w:w="751" w:type="pct"/>
            <w:shd w:val="clear" w:color="auto" w:fill="auto"/>
            <w:noWrap/>
          </w:tcPr>
          <w:p w:rsidR="002C2D5C" w:rsidRPr="009C6ED3" w:rsidRDefault="009C6ED3" w:rsidP="00C378B2">
            <w:pPr>
              <w:spacing w:line="240" w:lineRule="auto"/>
              <w:jc w:val="both"/>
              <w:rPr>
                <w:rFonts w:cstheme="minorHAnsi"/>
                <w:b/>
                <w:sz w:val="18"/>
                <w:szCs w:val="18"/>
                <w:lang w:eastAsia="zh-CN"/>
              </w:rPr>
            </w:pPr>
            <w:r w:rsidRPr="009C6ED3">
              <w:rPr>
                <w:rFonts w:cstheme="minorHAnsi"/>
                <w:b/>
                <w:sz w:val="18"/>
                <w:szCs w:val="18"/>
                <w:lang w:eastAsia="zh-CN"/>
              </w:rPr>
              <w:t>69.3%</w:t>
            </w:r>
          </w:p>
        </w:tc>
        <w:tc>
          <w:tcPr>
            <w:tcW w:w="751" w:type="pct"/>
            <w:shd w:val="clear" w:color="auto" w:fill="auto"/>
            <w:noWrap/>
          </w:tcPr>
          <w:p w:rsidR="002C2D5C" w:rsidRPr="009C6ED3" w:rsidRDefault="009C6ED3" w:rsidP="00C378B2">
            <w:pPr>
              <w:spacing w:line="240" w:lineRule="auto"/>
              <w:jc w:val="both"/>
              <w:rPr>
                <w:rFonts w:cstheme="minorHAnsi"/>
                <w:b/>
                <w:sz w:val="18"/>
                <w:szCs w:val="18"/>
                <w:lang w:eastAsia="zh-CN"/>
              </w:rPr>
            </w:pPr>
            <w:r w:rsidRPr="009C6ED3">
              <w:rPr>
                <w:rFonts w:cstheme="minorHAnsi"/>
                <w:b/>
                <w:sz w:val="18"/>
                <w:szCs w:val="18"/>
                <w:lang w:eastAsia="zh-CN"/>
              </w:rPr>
              <w:t>61.8%</w:t>
            </w:r>
          </w:p>
        </w:tc>
      </w:tr>
      <w:tr w:rsidR="002C2D5C" w:rsidRPr="00374C95" w:rsidTr="003D2636">
        <w:trPr>
          <w:trHeight w:val="288"/>
        </w:trPr>
        <w:tc>
          <w:tcPr>
            <w:tcW w:w="1403" w:type="pct"/>
            <w:tcBorders>
              <w:top w:val="nil"/>
              <w:left w:val="single" w:sz="4" w:space="0" w:color="auto"/>
              <w:bottom w:val="nil"/>
              <w:right w:val="single" w:sz="4" w:space="0" w:color="auto"/>
            </w:tcBorders>
            <w:shd w:val="clear" w:color="auto" w:fill="auto"/>
            <w:noWrap/>
            <w:vAlign w:val="center"/>
            <w:hideMark/>
          </w:tcPr>
          <w:p w:rsidR="002C2D5C" w:rsidRPr="00374C95" w:rsidRDefault="002C2D5C" w:rsidP="00C378B2">
            <w:pPr>
              <w:spacing w:line="240" w:lineRule="auto"/>
              <w:jc w:val="both"/>
              <w:rPr>
                <w:rFonts w:cstheme="minorHAnsi"/>
                <w:sz w:val="18"/>
                <w:szCs w:val="18"/>
                <w:lang w:eastAsia="zh-CN"/>
              </w:rPr>
            </w:pPr>
          </w:p>
        </w:tc>
        <w:tc>
          <w:tcPr>
            <w:tcW w:w="1344" w:type="pct"/>
            <w:tcBorders>
              <w:left w:val="single" w:sz="4" w:space="0" w:color="auto"/>
            </w:tcBorders>
            <w:shd w:val="clear" w:color="auto" w:fill="auto"/>
            <w:noWrap/>
            <w:vAlign w:val="center"/>
            <w:hideMark/>
          </w:tcPr>
          <w:p w:rsidR="002C2D5C" w:rsidRPr="00374C95" w:rsidRDefault="002C2D5C" w:rsidP="00C378B2">
            <w:pPr>
              <w:spacing w:line="240" w:lineRule="auto"/>
              <w:jc w:val="both"/>
              <w:rPr>
                <w:rFonts w:cstheme="minorHAnsi"/>
                <w:sz w:val="18"/>
                <w:szCs w:val="18"/>
                <w:lang w:eastAsia="zh-CN"/>
              </w:rPr>
            </w:pPr>
            <w:r w:rsidRPr="00374C95">
              <w:rPr>
                <w:rFonts w:cstheme="minorHAnsi"/>
                <w:sz w:val="18"/>
                <w:szCs w:val="18"/>
                <w:lang w:eastAsia="zh-CN"/>
              </w:rPr>
              <w:t>All aged 65 and over</w:t>
            </w:r>
          </w:p>
        </w:tc>
        <w:tc>
          <w:tcPr>
            <w:tcW w:w="751" w:type="pct"/>
            <w:shd w:val="clear" w:color="auto" w:fill="auto"/>
            <w:noWrap/>
          </w:tcPr>
          <w:p w:rsidR="002C2D5C" w:rsidRPr="009C6ED3" w:rsidRDefault="009C6ED3" w:rsidP="00C378B2">
            <w:pPr>
              <w:spacing w:line="240" w:lineRule="auto"/>
              <w:jc w:val="both"/>
              <w:rPr>
                <w:rFonts w:cstheme="minorHAnsi"/>
                <w:sz w:val="18"/>
                <w:szCs w:val="18"/>
                <w:lang w:eastAsia="zh-CN"/>
              </w:rPr>
            </w:pPr>
            <w:r w:rsidRPr="009C6ED3">
              <w:rPr>
                <w:rFonts w:cstheme="minorHAnsi"/>
                <w:sz w:val="18"/>
                <w:szCs w:val="18"/>
                <w:lang w:eastAsia="zh-CN"/>
              </w:rPr>
              <w:t>12.5%</w:t>
            </w:r>
          </w:p>
        </w:tc>
        <w:tc>
          <w:tcPr>
            <w:tcW w:w="751" w:type="pct"/>
            <w:shd w:val="clear" w:color="auto" w:fill="auto"/>
            <w:noWrap/>
          </w:tcPr>
          <w:p w:rsidR="002C2D5C" w:rsidRPr="009C6ED3" w:rsidRDefault="009C6ED3" w:rsidP="00C378B2">
            <w:pPr>
              <w:spacing w:line="240" w:lineRule="auto"/>
              <w:jc w:val="both"/>
              <w:rPr>
                <w:rFonts w:cstheme="minorHAnsi"/>
                <w:sz w:val="18"/>
                <w:szCs w:val="18"/>
                <w:lang w:eastAsia="zh-CN"/>
              </w:rPr>
            </w:pPr>
            <w:r w:rsidRPr="009C6ED3">
              <w:rPr>
                <w:rFonts w:cstheme="minorHAnsi"/>
                <w:sz w:val="18"/>
                <w:szCs w:val="18"/>
                <w:lang w:eastAsia="zh-CN"/>
              </w:rPr>
              <w:t>12.6%</w:t>
            </w:r>
          </w:p>
        </w:tc>
        <w:tc>
          <w:tcPr>
            <w:tcW w:w="751" w:type="pct"/>
            <w:shd w:val="clear" w:color="auto" w:fill="auto"/>
            <w:noWrap/>
          </w:tcPr>
          <w:p w:rsidR="002C2D5C" w:rsidRPr="009C6ED3" w:rsidRDefault="009C6ED3" w:rsidP="00C378B2">
            <w:pPr>
              <w:spacing w:line="240" w:lineRule="auto"/>
              <w:jc w:val="both"/>
              <w:rPr>
                <w:rFonts w:cstheme="minorHAnsi"/>
                <w:sz w:val="18"/>
                <w:szCs w:val="18"/>
                <w:lang w:eastAsia="zh-CN"/>
              </w:rPr>
            </w:pPr>
            <w:r w:rsidRPr="009C6ED3">
              <w:rPr>
                <w:rFonts w:cstheme="minorHAnsi"/>
                <w:sz w:val="18"/>
                <w:szCs w:val="18"/>
                <w:lang w:eastAsia="zh-CN"/>
              </w:rPr>
              <w:t>8.1%</w:t>
            </w:r>
          </w:p>
        </w:tc>
      </w:tr>
      <w:tr w:rsidR="002C2D5C" w:rsidRPr="00374C95" w:rsidTr="003D2636">
        <w:trPr>
          <w:trHeight w:val="288"/>
        </w:trPr>
        <w:tc>
          <w:tcPr>
            <w:tcW w:w="1403" w:type="pct"/>
            <w:tcBorders>
              <w:top w:val="nil"/>
              <w:left w:val="single" w:sz="4" w:space="0" w:color="auto"/>
              <w:bottom w:val="nil"/>
              <w:right w:val="single" w:sz="4" w:space="0" w:color="auto"/>
            </w:tcBorders>
            <w:shd w:val="clear" w:color="auto" w:fill="auto"/>
            <w:noWrap/>
            <w:vAlign w:val="center"/>
            <w:hideMark/>
          </w:tcPr>
          <w:p w:rsidR="002C2D5C" w:rsidRPr="00374C95" w:rsidRDefault="002C2D5C" w:rsidP="00C378B2">
            <w:pPr>
              <w:spacing w:line="240" w:lineRule="auto"/>
              <w:jc w:val="both"/>
              <w:rPr>
                <w:rFonts w:cstheme="minorHAnsi"/>
                <w:sz w:val="18"/>
                <w:szCs w:val="18"/>
                <w:lang w:eastAsia="zh-CN"/>
              </w:rPr>
            </w:pPr>
          </w:p>
        </w:tc>
        <w:tc>
          <w:tcPr>
            <w:tcW w:w="1344" w:type="pct"/>
            <w:tcBorders>
              <w:left w:val="single" w:sz="4" w:space="0" w:color="auto"/>
            </w:tcBorders>
            <w:shd w:val="clear" w:color="auto" w:fill="auto"/>
            <w:noWrap/>
            <w:vAlign w:val="center"/>
            <w:hideMark/>
          </w:tcPr>
          <w:p w:rsidR="002C2D5C" w:rsidRPr="00374C95" w:rsidRDefault="002C2D5C" w:rsidP="00C378B2">
            <w:pPr>
              <w:spacing w:line="240" w:lineRule="auto"/>
              <w:jc w:val="both"/>
              <w:rPr>
                <w:rFonts w:cstheme="minorHAnsi"/>
                <w:sz w:val="18"/>
                <w:szCs w:val="18"/>
                <w:lang w:eastAsia="zh-CN"/>
              </w:rPr>
            </w:pPr>
            <w:r w:rsidRPr="00374C95">
              <w:rPr>
                <w:rFonts w:cstheme="minorHAnsi"/>
                <w:sz w:val="18"/>
                <w:szCs w:val="18"/>
                <w:lang w:eastAsia="zh-CN"/>
              </w:rPr>
              <w:t>With no children</w:t>
            </w:r>
          </w:p>
        </w:tc>
        <w:tc>
          <w:tcPr>
            <w:tcW w:w="751" w:type="pct"/>
            <w:shd w:val="clear" w:color="auto" w:fill="auto"/>
            <w:noWrap/>
          </w:tcPr>
          <w:p w:rsidR="002C2D5C" w:rsidRPr="009C6ED3" w:rsidRDefault="009C6ED3" w:rsidP="00C378B2">
            <w:pPr>
              <w:spacing w:line="240" w:lineRule="auto"/>
              <w:jc w:val="both"/>
              <w:rPr>
                <w:rFonts w:cstheme="minorHAnsi"/>
                <w:sz w:val="18"/>
                <w:szCs w:val="18"/>
                <w:lang w:eastAsia="zh-CN"/>
              </w:rPr>
            </w:pPr>
            <w:r w:rsidRPr="009C6ED3">
              <w:rPr>
                <w:rFonts w:cstheme="minorHAnsi"/>
                <w:sz w:val="18"/>
                <w:szCs w:val="18"/>
                <w:lang w:eastAsia="zh-CN"/>
              </w:rPr>
              <w:t>26.9%</w:t>
            </w:r>
          </w:p>
        </w:tc>
        <w:tc>
          <w:tcPr>
            <w:tcW w:w="751" w:type="pct"/>
            <w:shd w:val="clear" w:color="auto" w:fill="auto"/>
            <w:noWrap/>
          </w:tcPr>
          <w:p w:rsidR="002C2D5C" w:rsidRPr="009C6ED3" w:rsidRDefault="009C6ED3" w:rsidP="00C378B2">
            <w:pPr>
              <w:spacing w:line="240" w:lineRule="auto"/>
              <w:jc w:val="both"/>
              <w:rPr>
                <w:rFonts w:cstheme="minorHAnsi"/>
                <w:sz w:val="18"/>
                <w:szCs w:val="18"/>
                <w:lang w:eastAsia="zh-CN"/>
              </w:rPr>
            </w:pPr>
            <w:r w:rsidRPr="009C6ED3">
              <w:rPr>
                <w:rFonts w:cstheme="minorHAnsi"/>
                <w:sz w:val="18"/>
                <w:szCs w:val="18"/>
                <w:lang w:eastAsia="zh-CN"/>
              </w:rPr>
              <w:t>22.3%</w:t>
            </w:r>
          </w:p>
        </w:tc>
        <w:tc>
          <w:tcPr>
            <w:tcW w:w="751" w:type="pct"/>
            <w:shd w:val="clear" w:color="auto" w:fill="auto"/>
            <w:noWrap/>
          </w:tcPr>
          <w:p w:rsidR="002C2D5C" w:rsidRPr="009C6ED3" w:rsidRDefault="009C6ED3" w:rsidP="00C378B2">
            <w:pPr>
              <w:spacing w:line="240" w:lineRule="auto"/>
              <w:jc w:val="both"/>
              <w:rPr>
                <w:rFonts w:cstheme="minorHAnsi"/>
                <w:sz w:val="18"/>
                <w:szCs w:val="18"/>
                <w:lang w:eastAsia="zh-CN"/>
              </w:rPr>
            </w:pPr>
            <w:r w:rsidRPr="009C6ED3">
              <w:rPr>
                <w:rFonts w:cstheme="minorHAnsi"/>
                <w:sz w:val="18"/>
                <w:szCs w:val="18"/>
                <w:lang w:eastAsia="zh-CN"/>
              </w:rPr>
              <w:t>17.6%</w:t>
            </w:r>
          </w:p>
        </w:tc>
      </w:tr>
      <w:tr w:rsidR="002C2D5C" w:rsidRPr="00374C95" w:rsidTr="009C6ED3">
        <w:trPr>
          <w:trHeight w:val="288"/>
        </w:trPr>
        <w:tc>
          <w:tcPr>
            <w:tcW w:w="1403" w:type="pct"/>
            <w:tcBorders>
              <w:top w:val="nil"/>
              <w:left w:val="single" w:sz="4" w:space="0" w:color="auto"/>
              <w:bottom w:val="nil"/>
              <w:right w:val="single" w:sz="4" w:space="0" w:color="auto"/>
            </w:tcBorders>
            <w:shd w:val="clear" w:color="auto" w:fill="auto"/>
            <w:noWrap/>
            <w:vAlign w:val="center"/>
            <w:hideMark/>
          </w:tcPr>
          <w:p w:rsidR="002C2D5C" w:rsidRPr="00374C95" w:rsidRDefault="002C2D5C" w:rsidP="00C378B2">
            <w:pPr>
              <w:spacing w:line="240" w:lineRule="auto"/>
              <w:jc w:val="both"/>
              <w:rPr>
                <w:rFonts w:cstheme="minorHAnsi"/>
                <w:sz w:val="18"/>
                <w:szCs w:val="18"/>
                <w:lang w:eastAsia="zh-CN"/>
              </w:rPr>
            </w:pPr>
          </w:p>
        </w:tc>
        <w:tc>
          <w:tcPr>
            <w:tcW w:w="1344" w:type="pct"/>
            <w:tcBorders>
              <w:left w:val="single" w:sz="4" w:space="0" w:color="auto"/>
            </w:tcBorders>
            <w:shd w:val="clear" w:color="auto" w:fill="auto"/>
            <w:noWrap/>
            <w:vAlign w:val="center"/>
            <w:hideMark/>
          </w:tcPr>
          <w:p w:rsidR="002C2D5C" w:rsidRPr="00374C95" w:rsidRDefault="002C2D5C" w:rsidP="00C378B2">
            <w:pPr>
              <w:spacing w:line="240" w:lineRule="auto"/>
              <w:jc w:val="both"/>
              <w:rPr>
                <w:rFonts w:cstheme="minorHAnsi"/>
                <w:sz w:val="18"/>
                <w:szCs w:val="18"/>
                <w:lang w:eastAsia="zh-CN"/>
              </w:rPr>
            </w:pPr>
            <w:r w:rsidRPr="00374C95">
              <w:rPr>
                <w:rFonts w:cstheme="minorHAnsi"/>
                <w:sz w:val="18"/>
                <w:szCs w:val="18"/>
                <w:lang w:eastAsia="zh-CN"/>
              </w:rPr>
              <w:t>With dependent children</w:t>
            </w:r>
          </w:p>
        </w:tc>
        <w:tc>
          <w:tcPr>
            <w:tcW w:w="751" w:type="pct"/>
            <w:shd w:val="clear" w:color="auto" w:fill="auto"/>
            <w:noWrap/>
          </w:tcPr>
          <w:p w:rsidR="002C2D5C" w:rsidRPr="009C6ED3" w:rsidRDefault="009C6ED3" w:rsidP="00C378B2">
            <w:pPr>
              <w:spacing w:line="240" w:lineRule="auto"/>
              <w:jc w:val="both"/>
              <w:rPr>
                <w:rFonts w:cstheme="minorHAnsi"/>
                <w:sz w:val="18"/>
                <w:szCs w:val="18"/>
                <w:lang w:eastAsia="zh-CN"/>
              </w:rPr>
            </w:pPr>
            <w:r w:rsidRPr="009C6ED3">
              <w:rPr>
                <w:rFonts w:cstheme="minorHAnsi"/>
                <w:sz w:val="18"/>
                <w:szCs w:val="18"/>
                <w:lang w:eastAsia="zh-CN"/>
              </w:rPr>
              <w:t>22.4%</w:t>
            </w:r>
          </w:p>
        </w:tc>
        <w:tc>
          <w:tcPr>
            <w:tcW w:w="751" w:type="pct"/>
            <w:shd w:val="clear" w:color="auto" w:fill="auto"/>
            <w:noWrap/>
          </w:tcPr>
          <w:p w:rsidR="002C2D5C" w:rsidRPr="009C6ED3" w:rsidRDefault="009C6ED3" w:rsidP="00C378B2">
            <w:pPr>
              <w:spacing w:line="240" w:lineRule="auto"/>
              <w:jc w:val="both"/>
              <w:rPr>
                <w:rFonts w:cstheme="minorHAnsi"/>
                <w:sz w:val="18"/>
                <w:szCs w:val="18"/>
                <w:lang w:eastAsia="zh-CN"/>
              </w:rPr>
            </w:pPr>
            <w:r w:rsidRPr="009C6ED3">
              <w:rPr>
                <w:rFonts w:cstheme="minorHAnsi"/>
                <w:sz w:val="18"/>
                <w:szCs w:val="18"/>
                <w:lang w:eastAsia="zh-CN"/>
              </w:rPr>
              <w:t>24.9%</w:t>
            </w:r>
          </w:p>
        </w:tc>
        <w:tc>
          <w:tcPr>
            <w:tcW w:w="751" w:type="pct"/>
            <w:shd w:val="clear" w:color="auto" w:fill="auto"/>
            <w:noWrap/>
          </w:tcPr>
          <w:p w:rsidR="002C2D5C" w:rsidRPr="009C6ED3" w:rsidRDefault="009C6ED3" w:rsidP="00C378B2">
            <w:pPr>
              <w:spacing w:line="240" w:lineRule="auto"/>
              <w:jc w:val="both"/>
              <w:rPr>
                <w:rFonts w:cstheme="minorHAnsi"/>
                <w:sz w:val="18"/>
                <w:szCs w:val="18"/>
                <w:lang w:eastAsia="zh-CN"/>
              </w:rPr>
            </w:pPr>
            <w:r w:rsidRPr="009C6ED3">
              <w:rPr>
                <w:rFonts w:cstheme="minorHAnsi"/>
                <w:sz w:val="18"/>
                <w:szCs w:val="18"/>
                <w:lang w:eastAsia="zh-CN"/>
              </w:rPr>
              <w:t>26.5%</w:t>
            </w:r>
          </w:p>
        </w:tc>
      </w:tr>
      <w:tr w:rsidR="002C2D5C" w:rsidRPr="00374C95" w:rsidTr="009C6ED3">
        <w:trPr>
          <w:trHeight w:val="288"/>
        </w:trPr>
        <w:tc>
          <w:tcPr>
            <w:tcW w:w="1403" w:type="pct"/>
            <w:tcBorders>
              <w:top w:val="nil"/>
              <w:left w:val="single" w:sz="4" w:space="0" w:color="auto"/>
              <w:bottom w:val="single" w:sz="4" w:space="0" w:color="auto"/>
              <w:right w:val="single" w:sz="4" w:space="0" w:color="auto"/>
            </w:tcBorders>
            <w:shd w:val="clear" w:color="auto" w:fill="auto"/>
            <w:noWrap/>
            <w:vAlign w:val="center"/>
            <w:hideMark/>
          </w:tcPr>
          <w:p w:rsidR="002C2D5C" w:rsidRPr="00374C95" w:rsidRDefault="002C2D5C" w:rsidP="00C378B2">
            <w:pPr>
              <w:spacing w:line="240" w:lineRule="auto"/>
              <w:jc w:val="both"/>
              <w:rPr>
                <w:rFonts w:cstheme="minorHAnsi"/>
                <w:sz w:val="18"/>
                <w:szCs w:val="18"/>
                <w:lang w:eastAsia="zh-CN"/>
              </w:rPr>
            </w:pPr>
          </w:p>
        </w:tc>
        <w:tc>
          <w:tcPr>
            <w:tcW w:w="1344" w:type="pct"/>
            <w:tcBorders>
              <w:left w:val="single" w:sz="4" w:space="0" w:color="auto"/>
            </w:tcBorders>
            <w:shd w:val="clear" w:color="auto" w:fill="auto"/>
            <w:noWrap/>
            <w:vAlign w:val="center"/>
            <w:hideMark/>
          </w:tcPr>
          <w:p w:rsidR="002C2D5C" w:rsidRPr="00374C95" w:rsidRDefault="002C2D5C" w:rsidP="00C378B2">
            <w:pPr>
              <w:spacing w:line="240" w:lineRule="auto"/>
              <w:jc w:val="both"/>
              <w:rPr>
                <w:rFonts w:cstheme="minorHAnsi"/>
                <w:sz w:val="18"/>
                <w:szCs w:val="18"/>
                <w:lang w:eastAsia="zh-CN"/>
              </w:rPr>
            </w:pPr>
            <w:r w:rsidRPr="00374C95">
              <w:rPr>
                <w:rFonts w:cstheme="minorHAnsi"/>
                <w:sz w:val="18"/>
                <w:szCs w:val="18"/>
                <w:lang w:eastAsia="zh-CN"/>
              </w:rPr>
              <w:t>All children Non-Dependent</w:t>
            </w:r>
            <w:r w:rsidR="00817582">
              <w:rPr>
                <w:rStyle w:val="FootnoteReference"/>
                <w:rFonts w:cstheme="minorHAnsi"/>
                <w:sz w:val="18"/>
                <w:szCs w:val="18"/>
                <w:lang w:eastAsia="zh-CN"/>
              </w:rPr>
              <w:footnoteReference w:id="27"/>
            </w:r>
          </w:p>
        </w:tc>
        <w:tc>
          <w:tcPr>
            <w:tcW w:w="751" w:type="pct"/>
            <w:shd w:val="clear" w:color="auto" w:fill="auto"/>
            <w:noWrap/>
          </w:tcPr>
          <w:p w:rsidR="002C2D5C" w:rsidRPr="009C6ED3" w:rsidRDefault="009C6ED3" w:rsidP="00C378B2">
            <w:pPr>
              <w:spacing w:line="240" w:lineRule="auto"/>
              <w:jc w:val="both"/>
              <w:rPr>
                <w:rFonts w:cstheme="minorHAnsi"/>
                <w:sz w:val="18"/>
                <w:szCs w:val="18"/>
                <w:lang w:eastAsia="zh-CN"/>
              </w:rPr>
            </w:pPr>
            <w:r w:rsidRPr="009C6ED3">
              <w:rPr>
                <w:rFonts w:cstheme="minorHAnsi"/>
                <w:sz w:val="18"/>
                <w:szCs w:val="18"/>
                <w:lang w:eastAsia="zh-CN"/>
              </w:rPr>
              <w:t>8.1%</w:t>
            </w:r>
          </w:p>
        </w:tc>
        <w:tc>
          <w:tcPr>
            <w:tcW w:w="751" w:type="pct"/>
            <w:shd w:val="clear" w:color="auto" w:fill="auto"/>
            <w:noWrap/>
          </w:tcPr>
          <w:p w:rsidR="002C2D5C" w:rsidRPr="009C6ED3" w:rsidRDefault="009C6ED3" w:rsidP="00C378B2">
            <w:pPr>
              <w:spacing w:line="240" w:lineRule="auto"/>
              <w:jc w:val="both"/>
              <w:rPr>
                <w:rFonts w:cstheme="minorHAnsi"/>
                <w:sz w:val="18"/>
                <w:szCs w:val="18"/>
                <w:lang w:eastAsia="zh-CN"/>
              </w:rPr>
            </w:pPr>
            <w:r w:rsidRPr="009C6ED3">
              <w:rPr>
                <w:rFonts w:cstheme="minorHAnsi"/>
                <w:sz w:val="18"/>
                <w:szCs w:val="18"/>
                <w:lang w:eastAsia="zh-CN"/>
              </w:rPr>
              <w:t>9.5%</w:t>
            </w:r>
          </w:p>
        </w:tc>
        <w:tc>
          <w:tcPr>
            <w:tcW w:w="751" w:type="pct"/>
            <w:shd w:val="clear" w:color="auto" w:fill="auto"/>
            <w:noWrap/>
          </w:tcPr>
          <w:p w:rsidR="002C2D5C" w:rsidRPr="009C6ED3" w:rsidRDefault="009C6ED3" w:rsidP="00C378B2">
            <w:pPr>
              <w:spacing w:line="240" w:lineRule="auto"/>
              <w:jc w:val="both"/>
              <w:rPr>
                <w:rFonts w:cstheme="minorHAnsi"/>
                <w:sz w:val="18"/>
                <w:szCs w:val="18"/>
                <w:lang w:eastAsia="zh-CN"/>
              </w:rPr>
            </w:pPr>
            <w:r w:rsidRPr="009C6ED3">
              <w:rPr>
                <w:rFonts w:cstheme="minorHAnsi"/>
                <w:sz w:val="18"/>
                <w:szCs w:val="18"/>
                <w:lang w:eastAsia="zh-CN"/>
              </w:rPr>
              <w:t>9.6%</w:t>
            </w:r>
          </w:p>
        </w:tc>
      </w:tr>
      <w:tr w:rsidR="002C2D5C" w:rsidRPr="00374C95" w:rsidTr="009C6ED3">
        <w:trPr>
          <w:trHeight w:val="288"/>
        </w:trPr>
        <w:tc>
          <w:tcPr>
            <w:tcW w:w="1403" w:type="pct"/>
            <w:tcBorders>
              <w:top w:val="single" w:sz="4" w:space="0" w:color="auto"/>
            </w:tcBorders>
            <w:shd w:val="clear" w:color="auto" w:fill="auto"/>
            <w:noWrap/>
            <w:vAlign w:val="center"/>
            <w:hideMark/>
          </w:tcPr>
          <w:p w:rsidR="002C2D5C" w:rsidRPr="00374C95" w:rsidRDefault="002C2D5C" w:rsidP="00C378B2">
            <w:pPr>
              <w:spacing w:line="240" w:lineRule="auto"/>
              <w:jc w:val="both"/>
              <w:rPr>
                <w:rFonts w:cstheme="minorHAnsi"/>
                <w:b/>
                <w:sz w:val="18"/>
                <w:szCs w:val="18"/>
                <w:lang w:eastAsia="zh-CN"/>
              </w:rPr>
            </w:pPr>
            <w:r w:rsidRPr="00374C95">
              <w:rPr>
                <w:rFonts w:cstheme="minorHAnsi"/>
                <w:b/>
                <w:sz w:val="18"/>
                <w:szCs w:val="18"/>
                <w:lang w:eastAsia="zh-CN"/>
              </w:rPr>
              <w:t>Other household types</w:t>
            </w:r>
          </w:p>
        </w:tc>
        <w:tc>
          <w:tcPr>
            <w:tcW w:w="1344" w:type="pct"/>
            <w:shd w:val="clear" w:color="auto" w:fill="auto"/>
            <w:noWrap/>
            <w:vAlign w:val="center"/>
            <w:hideMark/>
          </w:tcPr>
          <w:p w:rsidR="002C2D5C" w:rsidRPr="00374C95" w:rsidRDefault="002C2D5C" w:rsidP="00C378B2">
            <w:pPr>
              <w:spacing w:line="240" w:lineRule="auto"/>
              <w:jc w:val="both"/>
              <w:rPr>
                <w:rFonts w:cstheme="minorHAnsi"/>
                <w:b/>
                <w:sz w:val="18"/>
                <w:szCs w:val="18"/>
                <w:lang w:eastAsia="zh-CN"/>
              </w:rPr>
            </w:pPr>
            <w:r w:rsidRPr="00374C95">
              <w:rPr>
                <w:rFonts w:cstheme="minorHAnsi"/>
                <w:b/>
                <w:sz w:val="18"/>
                <w:szCs w:val="18"/>
                <w:lang w:eastAsia="zh-CN"/>
              </w:rPr>
              <w:t>Total</w:t>
            </w:r>
          </w:p>
        </w:tc>
        <w:tc>
          <w:tcPr>
            <w:tcW w:w="751" w:type="pct"/>
            <w:shd w:val="clear" w:color="auto" w:fill="auto"/>
            <w:noWrap/>
          </w:tcPr>
          <w:p w:rsidR="002C2D5C" w:rsidRPr="009C6ED3" w:rsidRDefault="009C6ED3" w:rsidP="00C378B2">
            <w:pPr>
              <w:spacing w:line="240" w:lineRule="auto"/>
              <w:jc w:val="both"/>
              <w:rPr>
                <w:rFonts w:cstheme="minorHAnsi"/>
                <w:b/>
                <w:sz w:val="18"/>
                <w:szCs w:val="18"/>
                <w:lang w:eastAsia="zh-CN"/>
              </w:rPr>
            </w:pPr>
            <w:r w:rsidRPr="009C6ED3">
              <w:rPr>
                <w:rFonts w:cstheme="minorHAnsi"/>
                <w:b/>
                <w:sz w:val="18"/>
                <w:szCs w:val="18"/>
                <w:lang w:eastAsia="zh-CN"/>
              </w:rPr>
              <w:t>5.5%</w:t>
            </w:r>
          </w:p>
        </w:tc>
        <w:tc>
          <w:tcPr>
            <w:tcW w:w="751" w:type="pct"/>
            <w:shd w:val="clear" w:color="auto" w:fill="auto"/>
            <w:noWrap/>
          </w:tcPr>
          <w:p w:rsidR="002C2D5C" w:rsidRPr="009C6ED3" w:rsidRDefault="009C6ED3" w:rsidP="00C378B2">
            <w:pPr>
              <w:spacing w:line="240" w:lineRule="auto"/>
              <w:jc w:val="both"/>
              <w:rPr>
                <w:rFonts w:cstheme="minorHAnsi"/>
                <w:b/>
                <w:sz w:val="18"/>
                <w:szCs w:val="18"/>
                <w:lang w:eastAsia="zh-CN"/>
              </w:rPr>
            </w:pPr>
            <w:r w:rsidRPr="009C6ED3">
              <w:rPr>
                <w:rFonts w:cstheme="minorHAnsi"/>
                <w:b/>
                <w:sz w:val="18"/>
                <w:szCs w:val="18"/>
                <w:lang w:eastAsia="zh-CN"/>
              </w:rPr>
              <w:t>4.3%</w:t>
            </w:r>
          </w:p>
        </w:tc>
        <w:tc>
          <w:tcPr>
            <w:tcW w:w="751" w:type="pct"/>
            <w:shd w:val="clear" w:color="auto" w:fill="auto"/>
            <w:noWrap/>
          </w:tcPr>
          <w:p w:rsidR="002C2D5C" w:rsidRPr="009C6ED3" w:rsidRDefault="009C6ED3" w:rsidP="00C378B2">
            <w:pPr>
              <w:spacing w:line="240" w:lineRule="auto"/>
              <w:jc w:val="both"/>
              <w:rPr>
                <w:rFonts w:cstheme="minorHAnsi"/>
                <w:b/>
                <w:sz w:val="18"/>
                <w:szCs w:val="18"/>
                <w:lang w:eastAsia="zh-CN"/>
              </w:rPr>
            </w:pPr>
            <w:r w:rsidRPr="009C6ED3">
              <w:rPr>
                <w:rFonts w:cstheme="minorHAnsi"/>
                <w:b/>
                <w:sz w:val="18"/>
                <w:szCs w:val="18"/>
                <w:lang w:eastAsia="zh-CN"/>
              </w:rPr>
              <w:t>8.0%</w:t>
            </w:r>
          </w:p>
        </w:tc>
      </w:tr>
    </w:tbl>
    <w:p w:rsidR="002C2D5C" w:rsidRPr="00374C95" w:rsidRDefault="002C2D5C" w:rsidP="002C2D5C">
      <w:pPr>
        <w:pStyle w:val="Source"/>
        <w:jc w:val="both"/>
        <w:rPr>
          <w:sz w:val="18"/>
          <w:szCs w:val="18"/>
          <w:lang w:val="en-GB"/>
        </w:rPr>
      </w:pPr>
      <w:r w:rsidRPr="00374C95">
        <w:rPr>
          <w:sz w:val="18"/>
          <w:szCs w:val="18"/>
          <w:lang w:val="en-GB"/>
        </w:rPr>
        <w:t>Source: ONS 2011, AECOM Calculations</w:t>
      </w:r>
    </w:p>
    <w:p w:rsidR="002C2D5C" w:rsidRPr="00CA73BD" w:rsidRDefault="00CA73BD" w:rsidP="002C2D5C">
      <w:pPr>
        <w:pStyle w:val="ListNumber"/>
        <w:widowControl w:val="0"/>
        <w:jc w:val="both"/>
        <w:rPr>
          <w:rFonts w:asciiTheme="majorHAnsi" w:hAnsiTheme="majorHAnsi"/>
          <w:b/>
          <w:bCs/>
          <w:color w:val="00B5E2" w:themeColor="accent1"/>
          <w:sz w:val="18"/>
          <w:szCs w:val="18"/>
        </w:rPr>
      </w:pPr>
      <w:r>
        <w:rPr>
          <w:sz w:val="18"/>
          <w:szCs w:val="18"/>
        </w:rPr>
        <w:t>Again, it is relevant to consider rates of change in this indicator during the period between Censuses. Between 2001 and 2011,</w:t>
      </w:r>
      <w:r w:rsidR="002C2D5C" w:rsidRPr="00CA73BD">
        <w:rPr>
          <w:sz w:val="18"/>
          <w:szCs w:val="18"/>
        </w:rPr>
        <w:t xml:space="preserve"> the</w:t>
      </w:r>
      <w:r>
        <w:rPr>
          <w:sz w:val="18"/>
          <w:szCs w:val="18"/>
        </w:rPr>
        <w:t xml:space="preserve"> main changes in household composition were</w:t>
      </w:r>
      <w:r w:rsidR="00A51259">
        <w:rPr>
          <w:sz w:val="18"/>
          <w:szCs w:val="18"/>
        </w:rPr>
        <w:t>;</w:t>
      </w:r>
      <w:r w:rsidR="002C2D5C" w:rsidRPr="00CA73BD">
        <w:rPr>
          <w:sz w:val="18"/>
          <w:szCs w:val="18"/>
        </w:rPr>
        <w:t xml:space="preserve"> </w:t>
      </w:r>
      <w:r w:rsidR="00A51259">
        <w:rPr>
          <w:sz w:val="18"/>
          <w:szCs w:val="18"/>
        </w:rPr>
        <w:t>a large increase in one family all aged 65 and over, particularly in comparison to the district and national level</w:t>
      </w:r>
      <w:r w:rsidR="002C2D5C" w:rsidRPr="00CA73BD">
        <w:rPr>
          <w:sz w:val="18"/>
          <w:szCs w:val="18"/>
        </w:rPr>
        <w:t xml:space="preserve"> </w:t>
      </w:r>
      <w:r w:rsidR="00A51259">
        <w:rPr>
          <w:sz w:val="18"/>
          <w:szCs w:val="18"/>
        </w:rPr>
        <w:t>percentage change</w:t>
      </w:r>
      <w:r w:rsidR="00441992">
        <w:rPr>
          <w:sz w:val="18"/>
          <w:szCs w:val="18"/>
        </w:rPr>
        <w:t xml:space="preserve">. There </w:t>
      </w:r>
      <w:r w:rsidR="00B72269">
        <w:rPr>
          <w:sz w:val="18"/>
          <w:szCs w:val="18"/>
        </w:rPr>
        <w:t>has also been a large increase in one family with no children and one family with dependent children compared to the district and national level</w:t>
      </w:r>
      <w:r w:rsidR="00A51259">
        <w:rPr>
          <w:sz w:val="18"/>
          <w:szCs w:val="18"/>
        </w:rPr>
        <w:t xml:space="preserve"> </w:t>
      </w:r>
      <w:r w:rsidR="002C2D5C" w:rsidRPr="00CA73BD">
        <w:rPr>
          <w:sz w:val="18"/>
          <w:szCs w:val="18"/>
        </w:rPr>
        <w:t xml:space="preserve">(see </w:t>
      </w:r>
      <w:fldSimple w:instr=" REF _Ref2603505 \h  \* MERGEFORMAT ">
        <w:r w:rsidR="00E14AFB" w:rsidRPr="002D4F56">
          <w:rPr>
            <w:sz w:val="18"/>
            <w:szCs w:val="18"/>
          </w:rPr>
          <w:t xml:space="preserve">Table </w:t>
        </w:r>
        <w:r w:rsidR="00E14AFB">
          <w:rPr>
            <w:noProof/>
            <w:sz w:val="18"/>
            <w:szCs w:val="18"/>
          </w:rPr>
          <w:t>6</w:t>
        </w:r>
        <w:r w:rsidR="00E14AFB" w:rsidRPr="002D4F56">
          <w:rPr>
            <w:noProof/>
            <w:sz w:val="18"/>
            <w:szCs w:val="18"/>
          </w:rPr>
          <w:noBreakHyphen/>
        </w:r>
        <w:r w:rsidR="00E14AFB">
          <w:rPr>
            <w:noProof/>
            <w:sz w:val="18"/>
            <w:szCs w:val="18"/>
          </w:rPr>
          <w:t>8</w:t>
        </w:r>
      </w:fldSimple>
      <w:r w:rsidR="002C2D5C" w:rsidRPr="00CA73BD">
        <w:rPr>
          <w:sz w:val="18"/>
          <w:szCs w:val="18"/>
        </w:rPr>
        <w:t>).</w:t>
      </w:r>
      <w:r w:rsidR="00C057DA">
        <w:rPr>
          <w:sz w:val="18"/>
          <w:szCs w:val="18"/>
        </w:rPr>
        <w:t xml:space="preserve"> </w:t>
      </w:r>
    </w:p>
    <w:p w:rsidR="002C2D5C" w:rsidRPr="002D4F56" w:rsidRDefault="002C2D5C" w:rsidP="002C2D5C">
      <w:pPr>
        <w:pStyle w:val="Caption"/>
        <w:jc w:val="both"/>
        <w:rPr>
          <w:sz w:val="18"/>
          <w:szCs w:val="18"/>
        </w:rPr>
      </w:pPr>
      <w:bookmarkStart w:id="121" w:name="_Ref2603505"/>
      <w:r w:rsidRPr="002D4F56">
        <w:rPr>
          <w:sz w:val="18"/>
          <w:szCs w:val="18"/>
        </w:rPr>
        <w:lastRenderedPageBreak/>
        <w:t xml:space="preserve">Table </w:t>
      </w:r>
      <w:r w:rsidR="001A69AC" w:rsidRPr="002D4F56">
        <w:rPr>
          <w:noProof/>
          <w:sz w:val="18"/>
          <w:szCs w:val="18"/>
        </w:rPr>
        <w:fldChar w:fldCharType="begin"/>
      </w:r>
      <w:r w:rsidRPr="002D4F56">
        <w:rPr>
          <w:noProof/>
          <w:sz w:val="18"/>
          <w:szCs w:val="18"/>
        </w:rPr>
        <w:instrText xml:space="preserve"> STYLEREF 1 \s </w:instrText>
      </w:r>
      <w:r w:rsidR="001A69AC" w:rsidRPr="002D4F56">
        <w:rPr>
          <w:noProof/>
          <w:sz w:val="18"/>
          <w:szCs w:val="18"/>
        </w:rPr>
        <w:fldChar w:fldCharType="separate"/>
      </w:r>
      <w:r w:rsidR="00E14AFB">
        <w:rPr>
          <w:noProof/>
          <w:sz w:val="18"/>
          <w:szCs w:val="18"/>
        </w:rPr>
        <w:t>6</w:t>
      </w:r>
      <w:r w:rsidR="001A69AC" w:rsidRPr="002D4F56">
        <w:rPr>
          <w:noProof/>
          <w:sz w:val="18"/>
          <w:szCs w:val="18"/>
        </w:rPr>
        <w:fldChar w:fldCharType="end"/>
      </w:r>
      <w:r w:rsidRPr="002D4F56">
        <w:rPr>
          <w:sz w:val="18"/>
          <w:szCs w:val="18"/>
        </w:rPr>
        <w:noBreakHyphen/>
      </w:r>
      <w:r w:rsidR="001A69AC" w:rsidRPr="002D4F56">
        <w:rPr>
          <w:noProof/>
          <w:sz w:val="18"/>
          <w:szCs w:val="18"/>
        </w:rPr>
        <w:fldChar w:fldCharType="begin"/>
      </w:r>
      <w:r w:rsidRPr="002D4F56">
        <w:rPr>
          <w:noProof/>
          <w:sz w:val="18"/>
          <w:szCs w:val="18"/>
        </w:rPr>
        <w:instrText xml:space="preserve"> SEQ Table \* ARABIC \s 1 </w:instrText>
      </w:r>
      <w:r w:rsidR="001A69AC" w:rsidRPr="002D4F56">
        <w:rPr>
          <w:noProof/>
          <w:sz w:val="18"/>
          <w:szCs w:val="18"/>
        </w:rPr>
        <w:fldChar w:fldCharType="separate"/>
      </w:r>
      <w:r w:rsidR="00E14AFB">
        <w:rPr>
          <w:noProof/>
          <w:sz w:val="18"/>
          <w:szCs w:val="18"/>
        </w:rPr>
        <w:t>8</w:t>
      </w:r>
      <w:r w:rsidR="001A69AC" w:rsidRPr="002D4F56">
        <w:rPr>
          <w:noProof/>
          <w:sz w:val="18"/>
          <w:szCs w:val="18"/>
        </w:rPr>
        <w:fldChar w:fldCharType="end"/>
      </w:r>
      <w:bookmarkEnd w:id="121"/>
      <w:r w:rsidRPr="002D4F56">
        <w:rPr>
          <w:noProof/>
          <w:sz w:val="18"/>
          <w:szCs w:val="18"/>
        </w:rPr>
        <w:t xml:space="preserve">: </w:t>
      </w:r>
      <w:r w:rsidRPr="002D4F56">
        <w:rPr>
          <w:sz w:val="18"/>
          <w:szCs w:val="18"/>
        </w:rPr>
        <w:t xml:space="preserve">Rates of change in household composition, </w:t>
      </w:r>
      <w:r w:rsidR="009C18F7">
        <w:rPr>
          <w:sz w:val="18"/>
          <w:szCs w:val="18"/>
        </w:rPr>
        <w:t>Reedham</w:t>
      </w:r>
      <w:r w:rsidR="002D4F56">
        <w:rPr>
          <w:sz w:val="18"/>
          <w:szCs w:val="18"/>
        </w:rPr>
        <w:t xml:space="preserve">, </w:t>
      </w:r>
      <w:r w:rsidRPr="002D4F56">
        <w:rPr>
          <w:sz w:val="18"/>
          <w:szCs w:val="18"/>
        </w:rPr>
        <w:t>2001-2011</w:t>
      </w:r>
    </w:p>
    <w:tbl>
      <w:tblPr>
        <w:tblW w:w="4791"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53"/>
        <w:gridCol w:w="2357"/>
        <w:gridCol w:w="1705"/>
        <w:gridCol w:w="1705"/>
        <w:gridCol w:w="784"/>
        <w:gridCol w:w="926"/>
      </w:tblGrid>
      <w:tr w:rsidR="002C2D5C" w:rsidRPr="00374C95" w:rsidTr="00C378B2">
        <w:trPr>
          <w:trHeight w:val="288"/>
        </w:trPr>
        <w:tc>
          <w:tcPr>
            <w:tcW w:w="1118" w:type="pct"/>
            <w:shd w:val="clear" w:color="auto" w:fill="000000" w:themeFill="text1"/>
            <w:noWrap/>
            <w:vAlign w:val="center"/>
            <w:hideMark/>
          </w:tcPr>
          <w:p w:rsidR="002C2D5C" w:rsidRPr="00374C95" w:rsidRDefault="002C2D5C" w:rsidP="00C378B2">
            <w:pPr>
              <w:spacing w:line="240" w:lineRule="auto"/>
              <w:jc w:val="both"/>
              <w:rPr>
                <w:rFonts w:cstheme="minorHAnsi"/>
                <w:b/>
                <w:bCs/>
                <w:color w:val="FFFFFF" w:themeColor="background1"/>
                <w:sz w:val="18"/>
                <w:szCs w:val="18"/>
                <w:lang w:eastAsia="zh-CN"/>
              </w:rPr>
            </w:pPr>
            <w:r w:rsidRPr="00374C95">
              <w:rPr>
                <w:rFonts w:cstheme="minorHAnsi"/>
                <w:b/>
                <w:bCs/>
                <w:color w:val="FFFFFF" w:themeColor="background1"/>
                <w:sz w:val="18"/>
                <w:szCs w:val="18"/>
                <w:lang w:eastAsia="zh-CN"/>
              </w:rPr>
              <w:t>Household type</w:t>
            </w:r>
          </w:p>
        </w:tc>
        <w:tc>
          <w:tcPr>
            <w:tcW w:w="1224" w:type="pct"/>
            <w:shd w:val="clear" w:color="auto" w:fill="000000" w:themeFill="text1"/>
            <w:noWrap/>
            <w:vAlign w:val="center"/>
            <w:hideMark/>
          </w:tcPr>
          <w:p w:rsidR="002C2D5C" w:rsidRPr="00374C95" w:rsidRDefault="002C2D5C" w:rsidP="00C378B2">
            <w:pPr>
              <w:spacing w:line="240" w:lineRule="auto"/>
              <w:jc w:val="both"/>
              <w:rPr>
                <w:rFonts w:cstheme="minorHAnsi"/>
                <w:b/>
                <w:bCs/>
                <w:color w:val="FFFFFF" w:themeColor="background1"/>
                <w:sz w:val="18"/>
                <w:szCs w:val="18"/>
                <w:lang w:eastAsia="zh-CN"/>
              </w:rPr>
            </w:pPr>
          </w:p>
        </w:tc>
        <w:tc>
          <w:tcPr>
            <w:tcW w:w="2177" w:type="pct"/>
            <w:gridSpan w:val="3"/>
            <w:shd w:val="clear" w:color="auto" w:fill="000000" w:themeFill="text1"/>
            <w:noWrap/>
            <w:vAlign w:val="center"/>
            <w:hideMark/>
          </w:tcPr>
          <w:p w:rsidR="002C2D5C" w:rsidRPr="00374C95" w:rsidRDefault="002C2D5C" w:rsidP="00C378B2">
            <w:pPr>
              <w:spacing w:line="240" w:lineRule="auto"/>
              <w:jc w:val="both"/>
              <w:rPr>
                <w:rFonts w:cstheme="minorHAnsi"/>
                <w:b/>
                <w:bCs/>
                <w:color w:val="FFFFFF" w:themeColor="background1"/>
                <w:sz w:val="18"/>
                <w:szCs w:val="18"/>
                <w:lang w:eastAsia="zh-CN"/>
              </w:rPr>
            </w:pPr>
            <w:r w:rsidRPr="00374C95">
              <w:rPr>
                <w:rFonts w:cstheme="minorHAnsi"/>
                <w:b/>
                <w:bCs/>
                <w:color w:val="FFFFFF" w:themeColor="background1"/>
                <w:sz w:val="18"/>
                <w:szCs w:val="18"/>
                <w:lang w:eastAsia="zh-CN"/>
              </w:rPr>
              <w:t>Percentage change, 2001-2011</w:t>
            </w:r>
          </w:p>
        </w:tc>
        <w:tc>
          <w:tcPr>
            <w:tcW w:w="481" w:type="pct"/>
            <w:shd w:val="clear" w:color="auto" w:fill="000000" w:themeFill="text1"/>
            <w:noWrap/>
            <w:vAlign w:val="center"/>
            <w:hideMark/>
          </w:tcPr>
          <w:p w:rsidR="002C2D5C" w:rsidRPr="00374C95" w:rsidRDefault="002C2D5C" w:rsidP="00C378B2">
            <w:pPr>
              <w:spacing w:line="240" w:lineRule="auto"/>
              <w:jc w:val="both"/>
              <w:rPr>
                <w:rFonts w:cstheme="minorHAnsi"/>
                <w:b/>
                <w:bCs/>
                <w:color w:val="FFFFFF" w:themeColor="background1"/>
                <w:sz w:val="18"/>
                <w:szCs w:val="18"/>
                <w:lang w:eastAsia="zh-CN"/>
              </w:rPr>
            </w:pPr>
          </w:p>
        </w:tc>
      </w:tr>
      <w:tr w:rsidR="002C2D5C" w:rsidRPr="00374C95" w:rsidTr="009C18F7">
        <w:trPr>
          <w:trHeight w:val="288"/>
        </w:trPr>
        <w:tc>
          <w:tcPr>
            <w:tcW w:w="1118" w:type="pct"/>
            <w:tcBorders>
              <w:bottom w:val="single" w:sz="4" w:space="0" w:color="auto"/>
            </w:tcBorders>
            <w:shd w:val="clear" w:color="auto" w:fill="000000" w:themeFill="text1"/>
            <w:noWrap/>
            <w:vAlign w:val="center"/>
            <w:hideMark/>
          </w:tcPr>
          <w:p w:rsidR="002C2D5C" w:rsidRPr="00374C95" w:rsidRDefault="002C2D5C" w:rsidP="00C378B2">
            <w:pPr>
              <w:spacing w:line="240" w:lineRule="auto"/>
              <w:jc w:val="both"/>
              <w:rPr>
                <w:rFonts w:cstheme="minorHAnsi"/>
                <w:color w:val="FFFFFF" w:themeColor="background1"/>
                <w:sz w:val="18"/>
                <w:szCs w:val="18"/>
                <w:lang w:eastAsia="zh-CN"/>
              </w:rPr>
            </w:pPr>
          </w:p>
        </w:tc>
        <w:tc>
          <w:tcPr>
            <w:tcW w:w="1224" w:type="pct"/>
            <w:shd w:val="clear" w:color="auto" w:fill="000000" w:themeFill="text1"/>
            <w:noWrap/>
            <w:vAlign w:val="center"/>
            <w:hideMark/>
          </w:tcPr>
          <w:p w:rsidR="002C2D5C" w:rsidRPr="00374C95" w:rsidRDefault="002C2D5C" w:rsidP="00C378B2">
            <w:pPr>
              <w:spacing w:line="240" w:lineRule="auto"/>
              <w:jc w:val="both"/>
              <w:rPr>
                <w:rFonts w:cstheme="minorHAnsi"/>
                <w:color w:val="FFFFFF" w:themeColor="background1"/>
                <w:sz w:val="18"/>
                <w:szCs w:val="18"/>
                <w:lang w:eastAsia="zh-CN"/>
              </w:rPr>
            </w:pPr>
          </w:p>
        </w:tc>
        <w:tc>
          <w:tcPr>
            <w:tcW w:w="885" w:type="pct"/>
            <w:shd w:val="clear" w:color="auto" w:fill="000000" w:themeFill="text1"/>
            <w:noWrap/>
            <w:vAlign w:val="center"/>
          </w:tcPr>
          <w:p w:rsidR="002C2D5C" w:rsidRPr="00374C95" w:rsidRDefault="009C18F7" w:rsidP="00C378B2">
            <w:pPr>
              <w:spacing w:line="240" w:lineRule="auto"/>
              <w:jc w:val="both"/>
              <w:rPr>
                <w:rFonts w:cstheme="minorHAnsi"/>
                <w:b/>
                <w:bCs/>
                <w:color w:val="FFFFFF" w:themeColor="background1"/>
                <w:sz w:val="18"/>
                <w:szCs w:val="18"/>
                <w:lang w:eastAsia="zh-CN"/>
              </w:rPr>
            </w:pPr>
            <w:r>
              <w:rPr>
                <w:rFonts w:cstheme="minorHAnsi"/>
                <w:b/>
                <w:bCs/>
                <w:color w:val="FFFFFF" w:themeColor="background1"/>
                <w:sz w:val="18"/>
                <w:szCs w:val="18"/>
                <w:lang w:eastAsia="zh-CN"/>
              </w:rPr>
              <w:t>Reedham</w:t>
            </w:r>
          </w:p>
        </w:tc>
        <w:tc>
          <w:tcPr>
            <w:tcW w:w="885" w:type="pct"/>
            <w:shd w:val="clear" w:color="auto" w:fill="000000" w:themeFill="text1"/>
            <w:noWrap/>
            <w:vAlign w:val="center"/>
          </w:tcPr>
          <w:p w:rsidR="002C2D5C" w:rsidRPr="00374C95" w:rsidRDefault="009C18F7" w:rsidP="00C378B2">
            <w:pPr>
              <w:spacing w:line="240" w:lineRule="auto"/>
              <w:jc w:val="both"/>
              <w:rPr>
                <w:rFonts w:cstheme="minorHAnsi"/>
                <w:b/>
                <w:bCs/>
                <w:color w:val="FFFFFF" w:themeColor="background1"/>
                <w:sz w:val="18"/>
                <w:szCs w:val="18"/>
                <w:lang w:eastAsia="zh-CN"/>
              </w:rPr>
            </w:pPr>
            <w:r>
              <w:rPr>
                <w:rFonts w:cstheme="minorHAnsi"/>
                <w:b/>
                <w:bCs/>
                <w:color w:val="FFFFFF" w:themeColor="background1"/>
                <w:sz w:val="18"/>
                <w:szCs w:val="18"/>
                <w:lang w:eastAsia="zh-CN"/>
              </w:rPr>
              <w:t>Broadland</w:t>
            </w:r>
          </w:p>
        </w:tc>
        <w:tc>
          <w:tcPr>
            <w:tcW w:w="888" w:type="pct"/>
            <w:gridSpan w:val="2"/>
            <w:shd w:val="clear" w:color="auto" w:fill="000000" w:themeFill="text1"/>
            <w:noWrap/>
            <w:vAlign w:val="center"/>
          </w:tcPr>
          <w:p w:rsidR="002C2D5C" w:rsidRPr="00374C95" w:rsidRDefault="009C18F7" w:rsidP="00C378B2">
            <w:pPr>
              <w:spacing w:line="240" w:lineRule="auto"/>
              <w:jc w:val="both"/>
              <w:rPr>
                <w:rFonts w:cstheme="minorHAnsi"/>
                <w:b/>
                <w:bCs/>
                <w:color w:val="FFFFFF" w:themeColor="background1"/>
                <w:sz w:val="18"/>
                <w:szCs w:val="18"/>
                <w:lang w:eastAsia="zh-CN"/>
              </w:rPr>
            </w:pPr>
            <w:r>
              <w:rPr>
                <w:rFonts w:cstheme="minorHAnsi"/>
                <w:b/>
                <w:bCs/>
                <w:color w:val="FFFFFF" w:themeColor="background1"/>
                <w:sz w:val="18"/>
                <w:szCs w:val="18"/>
                <w:lang w:eastAsia="zh-CN"/>
              </w:rPr>
              <w:t xml:space="preserve">England </w:t>
            </w:r>
          </w:p>
        </w:tc>
      </w:tr>
      <w:tr w:rsidR="002C2D5C" w:rsidRPr="00374C95" w:rsidTr="00117893">
        <w:trPr>
          <w:trHeight w:val="288"/>
        </w:trPr>
        <w:tc>
          <w:tcPr>
            <w:tcW w:w="1118" w:type="pct"/>
            <w:tcBorders>
              <w:top w:val="single" w:sz="4" w:space="0" w:color="auto"/>
              <w:left w:val="single" w:sz="4" w:space="0" w:color="auto"/>
              <w:bottom w:val="nil"/>
              <w:right w:val="single" w:sz="4" w:space="0" w:color="auto"/>
            </w:tcBorders>
            <w:shd w:val="clear" w:color="auto" w:fill="auto"/>
            <w:noWrap/>
            <w:hideMark/>
          </w:tcPr>
          <w:p w:rsidR="002C2D5C" w:rsidRPr="00374C95" w:rsidRDefault="002C2D5C" w:rsidP="00117893">
            <w:pPr>
              <w:spacing w:line="240" w:lineRule="auto"/>
              <w:rPr>
                <w:rFonts w:cstheme="minorHAnsi"/>
                <w:b/>
                <w:sz w:val="18"/>
                <w:szCs w:val="18"/>
                <w:lang w:eastAsia="zh-CN"/>
              </w:rPr>
            </w:pPr>
            <w:r w:rsidRPr="00374C95">
              <w:rPr>
                <w:rFonts w:cstheme="minorHAnsi"/>
                <w:b/>
                <w:sz w:val="18"/>
                <w:szCs w:val="18"/>
                <w:lang w:eastAsia="zh-CN"/>
              </w:rPr>
              <w:t>One person household</w:t>
            </w:r>
          </w:p>
        </w:tc>
        <w:tc>
          <w:tcPr>
            <w:tcW w:w="1224" w:type="pct"/>
            <w:tcBorders>
              <w:left w:val="single" w:sz="4" w:space="0" w:color="auto"/>
            </w:tcBorders>
            <w:shd w:val="clear" w:color="auto" w:fill="auto"/>
            <w:noWrap/>
            <w:vAlign w:val="center"/>
            <w:hideMark/>
          </w:tcPr>
          <w:p w:rsidR="002C2D5C" w:rsidRPr="00374C95" w:rsidRDefault="002C2D5C" w:rsidP="00C378B2">
            <w:pPr>
              <w:spacing w:line="240" w:lineRule="auto"/>
              <w:jc w:val="both"/>
              <w:rPr>
                <w:rFonts w:cstheme="minorHAnsi"/>
                <w:b/>
                <w:sz w:val="18"/>
                <w:szCs w:val="18"/>
                <w:lang w:eastAsia="zh-CN"/>
              </w:rPr>
            </w:pPr>
            <w:r w:rsidRPr="00374C95">
              <w:rPr>
                <w:rFonts w:cstheme="minorHAnsi"/>
                <w:b/>
                <w:sz w:val="18"/>
                <w:szCs w:val="18"/>
                <w:lang w:eastAsia="zh-CN"/>
              </w:rPr>
              <w:t>Total</w:t>
            </w:r>
          </w:p>
        </w:tc>
        <w:tc>
          <w:tcPr>
            <w:tcW w:w="885" w:type="pct"/>
            <w:shd w:val="clear" w:color="auto" w:fill="auto"/>
            <w:noWrap/>
          </w:tcPr>
          <w:p w:rsidR="002C2D5C" w:rsidRPr="00374C95" w:rsidRDefault="009C18F7" w:rsidP="00C378B2">
            <w:pPr>
              <w:spacing w:line="240" w:lineRule="auto"/>
              <w:jc w:val="both"/>
              <w:rPr>
                <w:rFonts w:cstheme="minorHAnsi"/>
                <w:b/>
                <w:sz w:val="18"/>
                <w:szCs w:val="18"/>
                <w:lang w:eastAsia="zh-CN"/>
              </w:rPr>
            </w:pPr>
            <w:r>
              <w:rPr>
                <w:rFonts w:cstheme="minorHAnsi"/>
                <w:b/>
                <w:sz w:val="18"/>
                <w:szCs w:val="18"/>
                <w:lang w:eastAsia="zh-CN"/>
              </w:rPr>
              <w:t>15.9%</w:t>
            </w:r>
          </w:p>
        </w:tc>
        <w:tc>
          <w:tcPr>
            <w:tcW w:w="885" w:type="pct"/>
            <w:shd w:val="clear" w:color="auto" w:fill="auto"/>
            <w:noWrap/>
          </w:tcPr>
          <w:p w:rsidR="002C2D5C" w:rsidRPr="00374C95" w:rsidRDefault="00E97F0B" w:rsidP="00C378B2">
            <w:pPr>
              <w:spacing w:line="240" w:lineRule="auto"/>
              <w:jc w:val="both"/>
              <w:rPr>
                <w:rFonts w:cstheme="minorHAnsi"/>
                <w:b/>
                <w:sz w:val="18"/>
                <w:szCs w:val="18"/>
                <w:lang w:eastAsia="zh-CN"/>
              </w:rPr>
            </w:pPr>
            <w:r>
              <w:rPr>
                <w:rFonts w:cstheme="minorHAnsi"/>
                <w:b/>
                <w:sz w:val="18"/>
                <w:szCs w:val="18"/>
                <w:lang w:eastAsia="zh-CN"/>
              </w:rPr>
              <w:t>11.1%</w:t>
            </w:r>
          </w:p>
        </w:tc>
        <w:tc>
          <w:tcPr>
            <w:tcW w:w="888" w:type="pct"/>
            <w:gridSpan w:val="2"/>
            <w:shd w:val="clear" w:color="auto" w:fill="auto"/>
            <w:noWrap/>
          </w:tcPr>
          <w:p w:rsidR="002C2D5C" w:rsidRPr="00374C95" w:rsidRDefault="00E97F0B" w:rsidP="00C378B2">
            <w:pPr>
              <w:spacing w:line="240" w:lineRule="auto"/>
              <w:jc w:val="both"/>
              <w:rPr>
                <w:rFonts w:cstheme="minorHAnsi"/>
                <w:b/>
                <w:sz w:val="18"/>
                <w:szCs w:val="18"/>
                <w:lang w:eastAsia="zh-CN"/>
              </w:rPr>
            </w:pPr>
            <w:r>
              <w:rPr>
                <w:rFonts w:cstheme="minorHAnsi"/>
                <w:b/>
                <w:sz w:val="18"/>
                <w:szCs w:val="18"/>
                <w:lang w:eastAsia="zh-CN"/>
              </w:rPr>
              <w:t>8.4%</w:t>
            </w:r>
          </w:p>
        </w:tc>
      </w:tr>
      <w:tr w:rsidR="002C2D5C" w:rsidRPr="00374C95" w:rsidTr="00117893">
        <w:trPr>
          <w:trHeight w:val="288"/>
        </w:trPr>
        <w:tc>
          <w:tcPr>
            <w:tcW w:w="1118" w:type="pct"/>
            <w:tcBorders>
              <w:top w:val="nil"/>
              <w:left w:val="single" w:sz="4" w:space="0" w:color="auto"/>
              <w:bottom w:val="nil"/>
              <w:right w:val="single" w:sz="4" w:space="0" w:color="auto"/>
            </w:tcBorders>
            <w:shd w:val="clear" w:color="auto" w:fill="auto"/>
            <w:noWrap/>
            <w:hideMark/>
          </w:tcPr>
          <w:p w:rsidR="002C2D5C" w:rsidRPr="00374C95" w:rsidRDefault="002C2D5C" w:rsidP="00117893">
            <w:pPr>
              <w:spacing w:line="240" w:lineRule="auto"/>
              <w:rPr>
                <w:rFonts w:cstheme="minorHAnsi"/>
                <w:sz w:val="18"/>
                <w:szCs w:val="18"/>
                <w:lang w:eastAsia="zh-CN"/>
              </w:rPr>
            </w:pPr>
          </w:p>
        </w:tc>
        <w:tc>
          <w:tcPr>
            <w:tcW w:w="1224" w:type="pct"/>
            <w:tcBorders>
              <w:left w:val="single" w:sz="4" w:space="0" w:color="auto"/>
            </w:tcBorders>
            <w:shd w:val="clear" w:color="auto" w:fill="auto"/>
            <w:noWrap/>
            <w:vAlign w:val="center"/>
            <w:hideMark/>
          </w:tcPr>
          <w:p w:rsidR="002C2D5C" w:rsidRPr="00374C95" w:rsidRDefault="002C2D5C" w:rsidP="00C378B2">
            <w:pPr>
              <w:spacing w:line="240" w:lineRule="auto"/>
              <w:jc w:val="both"/>
              <w:rPr>
                <w:rFonts w:cstheme="minorHAnsi"/>
                <w:sz w:val="18"/>
                <w:szCs w:val="18"/>
                <w:lang w:eastAsia="zh-CN"/>
              </w:rPr>
            </w:pPr>
            <w:r w:rsidRPr="00374C95">
              <w:rPr>
                <w:rFonts w:cstheme="minorHAnsi"/>
                <w:sz w:val="18"/>
                <w:szCs w:val="18"/>
                <w:lang w:eastAsia="zh-CN"/>
              </w:rPr>
              <w:t>Aged 65 and over</w:t>
            </w:r>
          </w:p>
        </w:tc>
        <w:tc>
          <w:tcPr>
            <w:tcW w:w="885" w:type="pct"/>
            <w:shd w:val="clear" w:color="auto" w:fill="auto"/>
            <w:noWrap/>
          </w:tcPr>
          <w:p w:rsidR="002C2D5C" w:rsidRPr="00374C95" w:rsidRDefault="009C18F7" w:rsidP="00C378B2">
            <w:pPr>
              <w:spacing w:line="240" w:lineRule="auto"/>
              <w:jc w:val="both"/>
              <w:rPr>
                <w:rFonts w:cstheme="minorHAnsi"/>
                <w:sz w:val="18"/>
                <w:szCs w:val="18"/>
                <w:lang w:eastAsia="zh-CN"/>
              </w:rPr>
            </w:pPr>
            <w:r>
              <w:rPr>
                <w:rFonts w:cstheme="minorHAnsi"/>
                <w:sz w:val="18"/>
                <w:szCs w:val="18"/>
                <w:lang w:eastAsia="zh-CN"/>
              </w:rPr>
              <w:t>0.0%</w:t>
            </w:r>
          </w:p>
        </w:tc>
        <w:tc>
          <w:tcPr>
            <w:tcW w:w="885" w:type="pct"/>
            <w:shd w:val="clear" w:color="auto" w:fill="auto"/>
            <w:noWrap/>
          </w:tcPr>
          <w:p w:rsidR="002C2D5C" w:rsidRPr="00374C95" w:rsidRDefault="00E97F0B" w:rsidP="00C378B2">
            <w:pPr>
              <w:spacing w:line="240" w:lineRule="auto"/>
              <w:jc w:val="both"/>
              <w:rPr>
                <w:rFonts w:cstheme="minorHAnsi"/>
                <w:sz w:val="18"/>
                <w:szCs w:val="18"/>
                <w:lang w:eastAsia="zh-CN"/>
              </w:rPr>
            </w:pPr>
            <w:r>
              <w:rPr>
                <w:rFonts w:cstheme="minorHAnsi"/>
                <w:sz w:val="18"/>
                <w:szCs w:val="18"/>
                <w:lang w:eastAsia="zh-CN"/>
              </w:rPr>
              <w:t>7.3%</w:t>
            </w:r>
          </w:p>
        </w:tc>
        <w:tc>
          <w:tcPr>
            <w:tcW w:w="888" w:type="pct"/>
            <w:gridSpan w:val="2"/>
            <w:shd w:val="clear" w:color="auto" w:fill="auto"/>
            <w:noWrap/>
          </w:tcPr>
          <w:p w:rsidR="002C2D5C" w:rsidRPr="00374C95" w:rsidRDefault="00E97F0B" w:rsidP="00C378B2">
            <w:pPr>
              <w:spacing w:line="240" w:lineRule="auto"/>
              <w:jc w:val="both"/>
              <w:rPr>
                <w:rFonts w:cstheme="minorHAnsi"/>
                <w:sz w:val="18"/>
                <w:szCs w:val="18"/>
                <w:lang w:eastAsia="zh-CN"/>
              </w:rPr>
            </w:pPr>
            <w:r>
              <w:rPr>
                <w:rFonts w:cstheme="minorHAnsi"/>
                <w:sz w:val="18"/>
                <w:szCs w:val="18"/>
                <w:lang w:eastAsia="zh-CN"/>
              </w:rPr>
              <w:t>-7.3%</w:t>
            </w:r>
          </w:p>
        </w:tc>
      </w:tr>
      <w:tr w:rsidR="002C2D5C" w:rsidRPr="00374C95" w:rsidTr="00117893">
        <w:trPr>
          <w:trHeight w:val="288"/>
        </w:trPr>
        <w:tc>
          <w:tcPr>
            <w:tcW w:w="1118" w:type="pct"/>
            <w:tcBorders>
              <w:top w:val="nil"/>
              <w:left w:val="single" w:sz="4" w:space="0" w:color="auto"/>
              <w:bottom w:val="single" w:sz="4" w:space="0" w:color="auto"/>
              <w:right w:val="single" w:sz="4" w:space="0" w:color="auto"/>
            </w:tcBorders>
            <w:shd w:val="clear" w:color="auto" w:fill="auto"/>
            <w:noWrap/>
            <w:hideMark/>
          </w:tcPr>
          <w:p w:rsidR="002C2D5C" w:rsidRPr="00374C95" w:rsidRDefault="002C2D5C" w:rsidP="00117893">
            <w:pPr>
              <w:spacing w:line="240" w:lineRule="auto"/>
              <w:rPr>
                <w:rFonts w:cstheme="minorHAnsi"/>
                <w:sz w:val="18"/>
                <w:szCs w:val="18"/>
                <w:lang w:eastAsia="zh-CN"/>
              </w:rPr>
            </w:pPr>
          </w:p>
        </w:tc>
        <w:tc>
          <w:tcPr>
            <w:tcW w:w="1224" w:type="pct"/>
            <w:tcBorders>
              <w:left w:val="single" w:sz="4" w:space="0" w:color="auto"/>
            </w:tcBorders>
            <w:shd w:val="clear" w:color="auto" w:fill="auto"/>
            <w:noWrap/>
            <w:vAlign w:val="center"/>
            <w:hideMark/>
          </w:tcPr>
          <w:p w:rsidR="002C2D5C" w:rsidRPr="00374C95" w:rsidRDefault="002C2D5C" w:rsidP="00C378B2">
            <w:pPr>
              <w:spacing w:line="240" w:lineRule="auto"/>
              <w:jc w:val="both"/>
              <w:rPr>
                <w:rFonts w:cstheme="minorHAnsi"/>
                <w:sz w:val="18"/>
                <w:szCs w:val="18"/>
                <w:lang w:eastAsia="zh-CN"/>
              </w:rPr>
            </w:pPr>
            <w:r w:rsidRPr="00374C95">
              <w:rPr>
                <w:rFonts w:cstheme="minorHAnsi"/>
                <w:sz w:val="18"/>
                <w:szCs w:val="18"/>
                <w:lang w:eastAsia="zh-CN"/>
              </w:rPr>
              <w:t>Other</w:t>
            </w:r>
          </w:p>
        </w:tc>
        <w:tc>
          <w:tcPr>
            <w:tcW w:w="885" w:type="pct"/>
            <w:shd w:val="clear" w:color="auto" w:fill="auto"/>
            <w:noWrap/>
          </w:tcPr>
          <w:p w:rsidR="002C2D5C" w:rsidRPr="00374C95" w:rsidRDefault="009C18F7" w:rsidP="00C378B2">
            <w:pPr>
              <w:spacing w:line="240" w:lineRule="auto"/>
              <w:jc w:val="both"/>
              <w:rPr>
                <w:rFonts w:cstheme="minorHAnsi"/>
                <w:sz w:val="18"/>
                <w:szCs w:val="18"/>
                <w:lang w:eastAsia="zh-CN"/>
              </w:rPr>
            </w:pPr>
            <w:r>
              <w:rPr>
                <w:rFonts w:cstheme="minorHAnsi"/>
                <w:sz w:val="18"/>
                <w:szCs w:val="18"/>
                <w:lang w:eastAsia="zh-CN"/>
              </w:rPr>
              <w:t>36.2%</w:t>
            </w:r>
          </w:p>
        </w:tc>
        <w:tc>
          <w:tcPr>
            <w:tcW w:w="885" w:type="pct"/>
            <w:shd w:val="clear" w:color="auto" w:fill="auto"/>
            <w:noWrap/>
          </w:tcPr>
          <w:p w:rsidR="002C2D5C" w:rsidRPr="00374C95" w:rsidRDefault="00E97F0B" w:rsidP="00C378B2">
            <w:pPr>
              <w:spacing w:line="240" w:lineRule="auto"/>
              <w:jc w:val="both"/>
              <w:rPr>
                <w:rFonts w:cstheme="minorHAnsi"/>
                <w:sz w:val="18"/>
                <w:szCs w:val="18"/>
                <w:lang w:eastAsia="zh-CN"/>
              </w:rPr>
            </w:pPr>
            <w:r>
              <w:rPr>
                <w:rFonts w:cstheme="minorHAnsi"/>
                <w:sz w:val="18"/>
                <w:szCs w:val="18"/>
                <w:lang w:eastAsia="zh-CN"/>
              </w:rPr>
              <w:t>15.8%</w:t>
            </w:r>
          </w:p>
        </w:tc>
        <w:tc>
          <w:tcPr>
            <w:tcW w:w="888" w:type="pct"/>
            <w:gridSpan w:val="2"/>
            <w:shd w:val="clear" w:color="auto" w:fill="auto"/>
            <w:noWrap/>
          </w:tcPr>
          <w:p w:rsidR="002C2D5C" w:rsidRPr="00374C95" w:rsidRDefault="00E97F0B" w:rsidP="00C378B2">
            <w:pPr>
              <w:spacing w:line="240" w:lineRule="auto"/>
              <w:jc w:val="both"/>
              <w:rPr>
                <w:rFonts w:cstheme="minorHAnsi"/>
                <w:sz w:val="18"/>
                <w:szCs w:val="18"/>
                <w:lang w:eastAsia="zh-CN"/>
              </w:rPr>
            </w:pPr>
            <w:r>
              <w:rPr>
                <w:rFonts w:cstheme="minorHAnsi"/>
                <w:sz w:val="18"/>
                <w:szCs w:val="18"/>
                <w:lang w:eastAsia="zh-CN"/>
              </w:rPr>
              <w:t>22.7%</w:t>
            </w:r>
          </w:p>
        </w:tc>
      </w:tr>
      <w:tr w:rsidR="002C2D5C" w:rsidRPr="00374C95" w:rsidTr="00117893">
        <w:trPr>
          <w:trHeight w:val="288"/>
        </w:trPr>
        <w:tc>
          <w:tcPr>
            <w:tcW w:w="1118" w:type="pct"/>
            <w:tcBorders>
              <w:top w:val="single" w:sz="4" w:space="0" w:color="auto"/>
              <w:left w:val="single" w:sz="4" w:space="0" w:color="auto"/>
              <w:bottom w:val="nil"/>
              <w:right w:val="single" w:sz="4" w:space="0" w:color="auto"/>
            </w:tcBorders>
            <w:shd w:val="clear" w:color="auto" w:fill="auto"/>
            <w:noWrap/>
            <w:hideMark/>
          </w:tcPr>
          <w:p w:rsidR="002C2D5C" w:rsidRPr="00374C95" w:rsidRDefault="002C2D5C" w:rsidP="00117893">
            <w:pPr>
              <w:spacing w:line="240" w:lineRule="auto"/>
              <w:rPr>
                <w:rFonts w:cstheme="minorHAnsi"/>
                <w:b/>
                <w:sz w:val="18"/>
                <w:szCs w:val="18"/>
                <w:lang w:eastAsia="zh-CN"/>
              </w:rPr>
            </w:pPr>
            <w:r w:rsidRPr="00374C95">
              <w:rPr>
                <w:rFonts w:cstheme="minorHAnsi"/>
                <w:b/>
                <w:sz w:val="18"/>
                <w:szCs w:val="18"/>
                <w:lang w:eastAsia="zh-CN"/>
              </w:rPr>
              <w:t>One family only</w:t>
            </w:r>
          </w:p>
        </w:tc>
        <w:tc>
          <w:tcPr>
            <w:tcW w:w="1224" w:type="pct"/>
            <w:tcBorders>
              <w:left w:val="single" w:sz="4" w:space="0" w:color="auto"/>
            </w:tcBorders>
            <w:shd w:val="clear" w:color="auto" w:fill="auto"/>
            <w:noWrap/>
            <w:vAlign w:val="center"/>
            <w:hideMark/>
          </w:tcPr>
          <w:p w:rsidR="002C2D5C" w:rsidRPr="00374C95" w:rsidRDefault="002C2D5C" w:rsidP="00C378B2">
            <w:pPr>
              <w:spacing w:line="240" w:lineRule="auto"/>
              <w:jc w:val="both"/>
              <w:rPr>
                <w:rFonts w:cstheme="minorHAnsi"/>
                <w:b/>
                <w:sz w:val="18"/>
                <w:szCs w:val="18"/>
                <w:lang w:eastAsia="zh-CN"/>
              </w:rPr>
            </w:pPr>
            <w:r w:rsidRPr="00374C95">
              <w:rPr>
                <w:rFonts w:cstheme="minorHAnsi"/>
                <w:b/>
                <w:sz w:val="18"/>
                <w:szCs w:val="18"/>
                <w:lang w:eastAsia="zh-CN"/>
              </w:rPr>
              <w:t>Total</w:t>
            </w:r>
          </w:p>
        </w:tc>
        <w:tc>
          <w:tcPr>
            <w:tcW w:w="885" w:type="pct"/>
            <w:shd w:val="clear" w:color="auto" w:fill="auto"/>
            <w:noWrap/>
          </w:tcPr>
          <w:p w:rsidR="002C2D5C" w:rsidRPr="00374C95" w:rsidRDefault="009C18F7" w:rsidP="00C378B2">
            <w:pPr>
              <w:spacing w:line="240" w:lineRule="auto"/>
              <w:jc w:val="both"/>
              <w:rPr>
                <w:rFonts w:cstheme="minorHAnsi"/>
                <w:b/>
                <w:sz w:val="18"/>
                <w:szCs w:val="18"/>
                <w:lang w:eastAsia="zh-CN"/>
              </w:rPr>
            </w:pPr>
            <w:r>
              <w:rPr>
                <w:rFonts w:cstheme="minorHAnsi"/>
                <w:b/>
                <w:sz w:val="18"/>
                <w:szCs w:val="18"/>
                <w:lang w:eastAsia="zh-CN"/>
              </w:rPr>
              <w:t>30.7%</w:t>
            </w:r>
          </w:p>
        </w:tc>
        <w:tc>
          <w:tcPr>
            <w:tcW w:w="885" w:type="pct"/>
            <w:shd w:val="clear" w:color="auto" w:fill="auto"/>
            <w:noWrap/>
          </w:tcPr>
          <w:p w:rsidR="002C2D5C" w:rsidRPr="00374C95" w:rsidRDefault="00E97F0B" w:rsidP="00C378B2">
            <w:pPr>
              <w:spacing w:line="240" w:lineRule="auto"/>
              <w:jc w:val="both"/>
              <w:rPr>
                <w:rFonts w:cstheme="minorHAnsi"/>
                <w:b/>
                <w:sz w:val="18"/>
                <w:szCs w:val="18"/>
                <w:lang w:eastAsia="zh-CN"/>
              </w:rPr>
            </w:pPr>
            <w:r>
              <w:rPr>
                <w:rFonts w:cstheme="minorHAnsi"/>
                <w:b/>
                <w:sz w:val="18"/>
                <w:szCs w:val="18"/>
                <w:lang w:eastAsia="zh-CN"/>
              </w:rPr>
              <w:t>3.9%</w:t>
            </w:r>
          </w:p>
        </w:tc>
        <w:tc>
          <w:tcPr>
            <w:tcW w:w="888" w:type="pct"/>
            <w:gridSpan w:val="2"/>
            <w:shd w:val="clear" w:color="auto" w:fill="auto"/>
            <w:noWrap/>
          </w:tcPr>
          <w:p w:rsidR="002C2D5C" w:rsidRPr="00374C95" w:rsidRDefault="00E97F0B" w:rsidP="00C378B2">
            <w:pPr>
              <w:spacing w:line="240" w:lineRule="auto"/>
              <w:jc w:val="both"/>
              <w:rPr>
                <w:rFonts w:cstheme="minorHAnsi"/>
                <w:b/>
                <w:sz w:val="18"/>
                <w:szCs w:val="18"/>
                <w:lang w:eastAsia="zh-CN"/>
              </w:rPr>
            </w:pPr>
            <w:r>
              <w:rPr>
                <w:rFonts w:cstheme="minorHAnsi"/>
                <w:b/>
                <w:sz w:val="18"/>
                <w:szCs w:val="18"/>
                <w:lang w:eastAsia="zh-CN"/>
              </w:rPr>
              <w:t>5.4%</w:t>
            </w:r>
          </w:p>
        </w:tc>
      </w:tr>
      <w:tr w:rsidR="002C2D5C" w:rsidRPr="00374C95" w:rsidTr="00117893">
        <w:trPr>
          <w:trHeight w:val="288"/>
        </w:trPr>
        <w:tc>
          <w:tcPr>
            <w:tcW w:w="1118" w:type="pct"/>
            <w:tcBorders>
              <w:top w:val="nil"/>
              <w:left w:val="single" w:sz="4" w:space="0" w:color="auto"/>
              <w:bottom w:val="nil"/>
              <w:right w:val="single" w:sz="4" w:space="0" w:color="auto"/>
            </w:tcBorders>
            <w:shd w:val="clear" w:color="auto" w:fill="auto"/>
            <w:noWrap/>
            <w:hideMark/>
          </w:tcPr>
          <w:p w:rsidR="002C2D5C" w:rsidRPr="00374C95" w:rsidRDefault="002C2D5C" w:rsidP="00117893">
            <w:pPr>
              <w:spacing w:line="240" w:lineRule="auto"/>
              <w:rPr>
                <w:rFonts w:cstheme="minorHAnsi"/>
                <w:sz w:val="18"/>
                <w:szCs w:val="18"/>
                <w:lang w:eastAsia="zh-CN"/>
              </w:rPr>
            </w:pPr>
          </w:p>
        </w:tc>
        <w:tc>
          <w:tcPr>
            <w:tcW w:w="1224" w:type="pct"/>
            <w:tcBorders>
              <w:left w:val="single" w:sz="4" w:space="0" w:color="auto"/>
            </w:tcBorders>
            <w:shd w:val="clear" w:color="auto" w:fill="auto"/>
            <w:noWrap/>
            <w:vAlign w:val="center"/>
            <w:hideMark/>
          </w:tcPr>
          <w:p w:rsidR="002C2D5C" w:rsidRPr="00374C95" w:rsidRDefault="002C2D5C" w:rsidP="00C378B2">
            <w:pPr>
              <w:spacing w:line="240" w:lineRule="auto"/>
              <w:jc w:val="both"/>
              <w:rPr>
                <w:rFonts w:cstheme="minorHAnsi"/>
                <w:sz w:val="18"/>
                <w:szCs w:val="18"/>
                <w:lang w:eastAsia="zh-CN"/>
              </w:rPr>
            </w:pPr>
            <w:r w:rsidRPr="00374C95">
              <w:rPr>
                <w:rFonts w:cstheme="minorHAnsi"/>
                <w:sz w:val="18"/>
                <w:szCs w:val="18"/>
                <w:lang w:eastAsia="zh-CN"/>
              </w:rPr>
              <w:t>All aged 65 and over</w:t>
            </w:r>
          </w:p>
        </w:tc>
        <w:tc>
          <w:tcPr>
            <w:tcW w:w="885" w:type="pct"/>
            <w:shd w:val="clear" w:color="auto" w:fill="auto"/>
            <w:noWrap/>
          </w:tcPr>
          <w:p w:rsidR="002C2D5C" w:rsidRPr="00374C95" w:rsidRDefault="009C18F7" w:rsidP="00C378B2">
            <w:pPr>
              <w:spacing w:line="240" w:lineRule="auto"/>
              <w:jc w:val="both"/>
              <w:rPr>
                <w:rFonts w:cstheme="minorHAnsi"/>
                <w:sz w:val="18"/>
                <w:szCs w:val="18"/>
                <w:lang w:eastAsia="zh-CN"/>
              </w:rPr>
            </w:pPr>
            <w:r>
              <w:rPr>
                <w:rFonts w:cstheme="minorHAnsi"/>
                <w:sz w:val="18"/>
                <w:szCs w:val="18"/>
                <w:lang w:eastAsia="zh-CN"/>
              </w:rPr>
              <w:t>40.0%</w:t>
            </w:r>
          </w:p>
        </w:tc>
        <w:tc>
          <w:tcPr>
            <w:tcW w:w="885" w:type="pct"/>
            <w:shd w:val="clear" w:color="auto" w:fill="auto"/>
            <w:noWrap/>
          </w:tcPr>
          <w:p w:rsidR="002C2D5C" w:rsidRPr="00374C95" w:rsidRDefault="00E97F0B" w:rsidP="00C378B2">
            <w:pPr>
              <w:spacing w:line="240" w:lineRule="auto"/>
              <w:jc w:val="both"/>
              <w:rPr>
                <w:rFonts w:cstheme="minorHAnsi"/>
                <w:sz w:val="18"/>
                <w:szCs w:val="18"/>
                <w:lang w:eastAsia="zh-CN"/>
              </w:rPr>
            </w:pPr>
            <w:r>
              <w:rPr>
                <w:rFonts w:cstheme="minorHAnsi"/>
                <w:sz w:val="18"/>
                <w:szCs w:val="18"/>
                <w:lang w:eastAsia="zh-CN"/>
              </w:rPr>
              <w:t>4.0%</w:t>
            </w:r>
          </w:p>
        </w:tc>
        <w:tc>
          <w:tcPr>
            <w:tcW w:w="888" w:type="pct"/>
            <w:gridSpan w:val="2"/>
            <w:shd w:val="clear" w:color="auto" w:fill="auto"/>
            <w:noWrap/>
          </w:tcPr>
          <w:p w:rsidR="002C2D5C" w:rsidRPr="00374C95" w:rsidRDefault="00E97F0B" w:rsidP="00C378B2">
            <w:pPr>
              <w:spacing w:line="240" w:lineRule="auto"/>
              <w:jc w:val="both"/>
              <w:rPr>
                <w:rFonts w:cstheme="minorHAnsi"/>
                <w:sz w:val="18"/>
                <w:szCs w:val="18"/>
                <w:lang w:eastAsia="zh-CN"/>
              </w:rPr>
            </w:pPr>
            <w:r>
              <w:rPr>
                <w:rFonts w:cstheme="minorHAnsi"/>
                <w:sz w:val="18"/>
                <w:szCs w:val="18"/>
                <w:lang w:eastAsia="zh-CN"/>
              </w:rPr>
              <w:t>-2.0%</w:t>
            </w:r>
          </w:p>
        </w:tc>
      </w:tr>
      <w:tr w:rsidR="002C2D5C" w:rsidRPr="00374C95" w:rsidTr="00117893">
        <w:trPr>
          <w:trHeight w:val="288"/>
        </w:trPr>
        <w:tc>
          <w:tcPr>
            <w:tcW w:w="1118" w:type="pct"/>
            <w:tcBorders>
              <w:top w:val="nil"/>
              <w:left w:val="single" w:sz="4" w:space="0" w:color="auto"/>
              <w:bottom w:val="nil"/>
              <w:right w:val="single" w:sz="4" w:space="0" w:color="auto"/>
            </w:tcBorders>
            <w:shd w:val="clear" w:color="auto" w:fill="auto"/>
            <w:noWrap/>
            <w:hideMark/>
          </w:tcPr>
          <w:p w:rsidR="002C2D5C" w:rsidRPr="00374C95" w:rsidRDefault="002C2D5C" w:rsidP="00117893">
            <w:pPr>
              <w:spacing w:line="240" w:lineRule="auto"/>
              <w:rPr>
                <w:rFonts w:cstheme="minorHAnsi"/>
                <w:sz w:val="18"/>
                <w:szCs w:val="18"/>
                <w:lang w:eastAsia="zh-CN"/>
              </w:rPr>
            </w:pPr>
          </w:p>
        </w:tc>
        <w:tc>
          <w:tcPr>
            <w:tcW w:w="1224" w:type="pct"/>
            <w:tcBorders>
              <w:left w:val="single" w:sz="4" w:space="0" w:color="auto"/>
            </w:tcBorders>
            <w:shd w:val="clear" w:color="auto" w:fill="auto"/>
            <w:noWrap/>
            <w:vAlign w:val="center"/>
            <w:hideMark/>
          </w:tcPr>
          <w:p w:rsidR="002C2D5C" w:rsidRPr="00374C95" w:rsidRDefault="002C2D5C" w:rsidP="00C378B2">
            <w:pPr>
              <w:spacing w:line="240" w:lineRule="auto"/>
              <w:jc w:val="both"/>
              <w:rPr>
                <w:rFonts w:cstheme="minorHAnsi"/>
                <w:sz w:val="18"/>
                <w:szCs w:val="18"/>
                <w:lang w:eastAsia="zh-CN"/>
              </w:rPr>
            </w:pPr>
            <w:r w:rsidRPr="00374C95">
              <w:rPr>
                <w:rFonts w:cstheme="minorHAnsi"/>
                <w:sz w:val="18"/>
                <w:szCs w:val="18"/>
                <w:lang w:eastAsia="zh-CN"/>
              </w:rPr>
              <w:t>With no children</w:t>
            </w:r>
          </w:p>
        </w:tc>
        <w:tc>
          <w:tcPr>
            <w:tcW w:w="885" w:type="pct"/>
            <w:shd w:val="clear" w:color="auto" w:fill="auto"/>
            <w:noWrap/>
          </w:tcPr>
          <w:p w:rsidR="002C2D5C" w:rsidRPr="00374C95" w:rsidRDefault="009C18F7" w:rsidP="00C378B2">
            <w:pPr>
              <w:spacing w:line="240" w:lineRule="auto"/>
              <w:jc w:val="both"/>
              <w:rPr>
                <w:rFonts w:cstheme="minorHAnsi"/>
                <w:sz w:val="18"/>
                <w:szCs w:val="18"/>
                <w:lang w:eastAsia="zh-CN"/>
              </w:rPr>
            </w:pPr>
            <w:r>
              <w:rPr>
                <w:rFonts w:cstheme="minorHAnsi"/>
                <w:sz w:val="18"/>
                <w:szCs w:val="18"/>
                <w:lang w:eastAsia="zh-CN"/>
              </w:rPr>
              <w:t>29.5%</w:t>
            </w:r>
          </w:p>
        </w:tc>
        <w:tc>
          <w:tcPr>
            <w:tcW w:w="885" w:type="pct"/>
            <w:shd w:val="clear" w:color="auto" w:fill="auto"/>
            <w:noWrap/>
          </w:tcPr>
          <w:p w:rsidR="002C2D5C" w:rsidRPr="00374C95" w:rsidRDefault="00E97F0B" w:rsidP="00C378B2">
            <w:pPr>
              <w:spacing w:line="240" w:lineRule="auto"/>
              <w:jc w:val="both"/>
              <w:rPr>
                <w:rFonts w:cstheme="minorHAnsi"/>
                <w:sz w:val="18"/>
                <w:szCs w:val="18"/>
                <w:lang w:eastAsia="zh-CN"/>
              </w:rPr>
            </w:pPr>
            <w:r>
              <w:rPr>
                <w:rFonts w:cstheme="minorHAnsi"/>
                <w:sz w:val="18"/>
                <w:szCs w:val="18"/>
                <w:lang w:eastAsia="zh-CN"/>
              </w:rPr>
              <w:t>3.0%</w:t>
            </w:r>
          </w:p>
        </w:tc>
        <w:tc>
          <w:tcPr>
            <w:tcW w:w="888" w:type="pct"/>
            <w:gridSpan w:val="2"/>
            <w:shd w:val="clear" w:color="auto" w:fill="auto"/>
            <w:noWrap/>
          </w:tcPr>
          <w:p w:rsidR="002C2D5C" w:rsidRPr="00374C95" w:rsidRDefault="00E97F0B" w:rsidP="00C378B2">
            <w:pPr>
              <w:spacing w:line="240" w:lineRule="auto"/>
              <w:jc w:val="both"/>
              <w:rPr>
                <w:rFonts w:cstheme="minorHAnsi"/>
                <w:sz w:val="18"/>
                <w:szCs w:val="18"/>
                <w:lang w:eastAsia="zh-CN"/>
              </w:rPr>
            </w:pPr>
            <w:r>
              <w:rPr>
                <w:rFonts w:cstheme="minorHAnsi"/>
                <w:sz w:val="18"/>
                <w:szCs w:val="18"/>
                <w:lang w:eastAsia="zh-CN"/>
              </w:rPr>
              <w:t>7.1%</w:t>
            </w:r>
          </w:p>
        </w:tc>
      </w:tr>
      <w:tr w:rsidR="002C2D5C" w:rsidRPr="00374C95" w:rsidTr="00117893">
        <w:trPr>
          <w:trHeight w:val="288"/>
        </w:trPr>
        <w:tc>
          <w:tcPr>
            <w:tcW w:w="1118" w:type="pct"/>
            <w:tcBorders>
              <w:top w:val="nil"/>
              <w:left w:val="single" w:sz="4" w:space="0" w:color="auto"/>
              <w:bottom w:val="nil"/>
              <w:right w:val="single" w:sz="4" w:space="0" w:color="auto"/>
            </w:tcBorders>
            <w:shd w:val="clear" w:color="auto" w:fill="auto"/>
            <w:noWrap/>
            <w:hideMark/>
          </w:tcPr>
          <w:p w:rsidR="002C2D5C" w:rsidRPr="00374C95" w:rsidRDefault="002C2D5C" w:rsidP="00117893">
            <w:pPr>
              <w:spacing w:line="240" w:lineRule="auto"/>
              <w:rPr>
                <w:rFonts w:cstheme="minorHAnsi"/>
                <w:sz w:val="18"/>
                <w:szCs w:val="18"/>
                <w:lang w:eastAsia="zh-CN"/>
              </w:rPr>
            </w:pPr>
          </w:p>
        </w:tc>
        <w:tc>
          <w:tcPr>
            <w:tcW w:w="1224" w:type="pct"/>
            <w:tcBorders>
              <w:left w:val="single" w:sz="4" w:space="0" w:color="auto"/>
            </w:tcBorders>
            <w:shd w:val="clear" w:color="auto" w:fill="auto"/>
            <w:noWrap/>
            <w:vAlign w:val="center"/>
            <w:hideMark/>
          </w:tcPr>
          <w:p w:rsidR="002C2D5C" w:rsidRPr="00374C95" w:rsidRDefault="002C2D5C" w:rsidP="00C378B2">
            <w:pPr>
              <w:spacing w:line="240" w:lineRule="auto"/>
              <w:jc w:val="both"/>
              <w:rPr>
                <w:rFonts w:cstheme="minorHAnsi"/>
                <w:sz w:val="18"/>
                <w:szCs w:val="18"/>
                <w:lang w:eastAsia="zh-CN"/>
              </w:rPr>
            </w:pPr>
            <w:r w:rsidRPr="00374C95">
              <w:rPr>
                <w:rFonts w:cstheme="minorHAnsi"/>
                <w:sz w:val="18"/>
                <w:szCs w:val="18"/>
                <w:lang w:eastAsia="zh-CN"/>
              </w:rPr>
              <w:t>With dependent children</w:t>
            </w:r>
          </w:p>
        </w:tc>
        <w:tc>
          <w:tcPr>
            <w:tcW w:w="885" w:type="pct"/>
            <w:shd w:val="clear" w:color="auto" w:fill="auto"/>
            <w:noWrap/>
          </w:tcPr>
          <w:p w:rsidR="002C2D5C" w:rsidRPr="00374C95" w:rsidRDefault="009C18F7" w:rsidP="00C378B2">
            <w:pPr>
              <w:spacing w:line="240" w:lineRule="auto"/>
              <w:jc w:val="both"/>
              <w:rPr>
                <w:rFonts w:cstheme="minorHAnsi"/>
                <w:sz w:val="18"/>
                <w:szCs w:val="18"/>
                <w:lang w:eastAsia="zh-CN"/>
              </w:rPr>
            </w:pPr>
            <w:r>
              <w:rPr>
                <w:rFonts w:cstheme="minorHAnsi"/>
                <w:sz w:val="18"/>
                <w:szCs w:val="18"/>
                <w:lang w:eastAsia="zh-CN"/>
              </w:rPr>
              <w:t>36.1%</w:t>
            </w:r>
          </w:p>
        </w:tc>
        <w:tc>
          <w:tcPr>
            <w:tcW w:w="885" w:type="pct"/>
            <w:shd w:val="clear" w:color="auto" w:fill="auto"/>
            <w:noWrap/>
          </w:tcPr>
          <w:p w:rsidR="002C2D5C" w:rsidRPr="00374C95" w:rsidRDefault="00E97F0B" w:rsidP="00C378B2">
            <w:pPr>
              <w:spacing w:line="240" w:lineRule="auto"/>
              <w:jc w:val="both"/>
              <w:rPr>
                <w:rFonts w:cstheme="minorHAnsi"/>
                <w:sz w:val="18"/>
                <w:szCs w:val="18"/>
                <w:lang w:eastAsia="zh-CN"/>
              </w:rPr>
            </w:pPr>
            <w:r>
              <w:rPr>
                <w:rFonts w:cstheme="minorHAnsi"/>
                <w:sz w:val="18"/>
                <w:szCs w:val="18"/>
                <w:lang w:eastAsia="zh-CN"/>
              </w:rPr>
              <w:t>1.4%</w:t>
            </w:r>
          </w:p>
        </w:tc>
        <w:tc>
          <w:tcPr>
            <w:tcW w:w="888" w:type="pct"/>
            <w:gridSpan w:val="2"/>
            <w:shd w:val="clear" w:color="auto" w:fill="auto"/>
            <w:noWrap/>
          </w:tcPr>
          <w:p w:rsidR="002C2D5C" w:rsidRPr="00374C95" w:rsidRDefault="00E97F0B" w:rsidP="00C378B2">
            <w:pPr>
              <w:spacing w:line="240" w:lineRule="auto"/>
              <w:jc w:val="both"/>
              <w:rPr>
                <w:rFonts w:cstheme="minorHAnsi"/>
                <w:sz w:val="18"/>
                <w:szCs w:val="18"/>
                <w:lang w:eastAsia="zh-CN"/>
              </w:rPr>
            </w:pPr>
            <w:r>
              <w:rPr>
                <w:rFonts w:cstheme="minorHAnsi"/>
                <w:sz w:val="18"/>
                <w:szCs w:val="18"/>
                <w:lang w:eastAsia="zh-CN"/>
              </w:rPr>
              <w:t>5.0%</w:t>
            </w:r>
          </w:p>
        </w:tc>
      </w:tr>
      <w:tr w:rsidR="002C2D5C" w:rsidRPr="00374C95" w:rsidTr="00117893">
        <w:trPr>
          <w:trHeight w:val="288"/>
        </w:trPr>
        <w:tc>
          <w:tcPr>
            <w:tcW w:w="1118" w:type="pct"/>
            <w:tcBorders>
              <w:top w:val="nil"/>
              <w:left w:val="single" w:sz="4" w:space="0" w:color="auto"/>
              <w:bottom w:val="single" w:sz="4" w:space="0" w:color="auto"/>
              <w:right w:val="single" w:sz="4" w:space="0" w:color="auto"/>
            </w:tcBorders>
            <w:shd w:val="clear" w:color="auto" w:fill="auto"/>
            <w:noWrap/>
            <w:hideMark/>
          </w:tcPr>
          <w:p w:rsidR="002C2D5C" w:rsidRPr="00374C95" w:rsidRDefault="002C2D5C" w:rsidP="00117893">
            <w:pPr>
              <w:spacing w:line="240" w:lineRule="auto"/>
              <w:rPr>
                <w:rFonts w:cstheme="minorHAnsi"/>
                <w:sz w:val="18"/>
                <w:szCs w:val="18"/>
                <w:lang w:eastAsia="zh-CN"/>
              </w:rPr>
            </w:pPr>
          </w:p>
        </w:tc>
        <w:tc>
          <w:tcPr>
            <w:tcW w:w="1224" w:type="pct"/>
            <w:tcBorders>
              <w:left w:val="single" w:sz="4" w:space="0" w:color="auto"/>
            </w:tcBorders>
            <w:shd w:val="clear" w:color="auto" w:fill="auto"/>
            <w:noWrap/>
            <w:vAlign w:val="center"/>
            <w:hideMark/>
          </w:tcPr>
          <w:p w:rsidR="002C2D5C" w:rsidRPr="00374C95" w:rsidRDefault="002C2D5C" w:rsidP="00C378B2">
            <w:pPr>
              <w:spacing w:line="240" w:lineRule="auto"/>
              <w:jc w:val="both"/>
              <w:rPr>
                <w:rFonts w:cstheme="minorHAnsi"/>
                <w:sz w:val="18"/>
                <w:szCs w:val="18"/>
                <w:lang w:eastAsia="zh-CN"/>
              </w:rPr>
            </w:pPr>
            <w:r w:rsidRPr="00374C95">
              <w:rPr>
                <w:rFonts w:cstheme="minorHAnsi"/>
                <w:sz w:val="18"/>
                <w:szCs w:val="18"/>
                <w:lang w:eastAsia="zh-CN"/>
              </w:rPr>
              <w:t>All children non-dependent</w:t>
            </w:r>
          </w:p>
        </w:tc>
        <w:tc>
          <w:tcPr>
            <w:tcW w:w="885" w:type="pct"/>
            <w:shd w:val="clear" w:color="auto" w:fill="auto"/>
            <w:noWrap/>
          </w:tcPr>
          <w:p w:rsidR="002C2D5C" w:rsidRPr="00374C95" w:rsidRDefault="009C18F7" w:rsidP="00C378B2">
            <w:pPr>
              <w:spacing w:line="240" w:lineRule="auto"/>
              <w:jc w:val="both"/>
              <w:rPr>
                <w:rFonts w:cstheme="minorHAnsi"/>
                <w:sz w:val="18"/>
                <w:szCs w:val="18"/>
                <w:lang w:eastAsia="zh-CN"/>
              </w:rPr>
            </w:pPr>
            <w:r>
              <w:rPr>
                <w:rFonts w:cstheme="minorHAnsi"/>
                <w:sz w:val="18"/>
                <w:szCs w:val="18"/>
                <w:lang w:eastAsia="zh-CN"/>
              </w:rPr>
              <w:t>10.8%</w:t>
            </w:r>
          </w:p>
        </w:tc>
        <w:tc>
          <w:tcPr>
            <w:tcW w:w="885" w:type="pct"/>
            <w:shd w:val="clear" w:color="auto" w:fill="auto"/>
            <w:noWrap/>
          </w:tcPr>
          <w:p w:rsidR="002C2D5C" w:rsidRPr="00374C95" w:rsidRDefault="00E97F0B" w:rsidP="00C378B2">
            <w:pPr>
              <w:spacing w:line="240" w:lineRule="auto"/>
              <w:jc w:val="both"/>
              <w:rPr>
                <w:rFonts w:cstheme="minorHAnsi"/>
                <w:sz w:val="18"/>
                <w:szCs w:val="18"/>
                <w:lang w:eastAsia="zh-CN"/>
              </w:rPr>
            </w:pPr>
            <w:r>
              <w:rPr>
                <w:rFonts w:cstheme="minorHAnsi"/>
                <w:sz w:val="18"/>
                <w:szCs w:val="18"/>
                <w:lang w:eastAsia="zh-CN"/>
              </w:rPr>
              <w:t>13.7%</w:t>
            </w:r>
          </w:p>
        </w:tc>
        <w:tc>
          <w:tcPr>
            <w:tcW w:w="888" w:type="pct"/>
            <w:gridSpan w:val="2"/>
            <w:shd w:val="clear" w:color="auto" w:fill="auto"/>
            <w:noWrap/>
          </w:tcPr>
          <w:p w:rsidR="002C2D5C" w:rsidRPr="00374C95" w:rsidRDefault="00E97F0B" w:rsidP="00C378B2">
            <w:pPr>
              <w:spacing w:line="240" w:lineRule="auto"/>
              <w:jc w:val="both"/>
              <w:rPr>
                <w:rFonts w:cstheme="minorHAnsi"/>
                <w:sz w:val="18"/>
                <w:szCs w:val="18"/>
                <w:lang w:eastAsia="zh-CN"/>
              </w:rPr>
            </w:pPr>
            <w:r>
              <w:rPr>
                <w:rFonts w:cstheme="minorHAnsi"/>
                <w:sz w:val="18"/>
                <w:szCs w:val="18"/>
                <w:lang w:eastAsia="zh-CN"/>
              </w:rPr>
              <w:t>10.6%</w:t>
            </w:r>
          </w:p>
        </w:tc>
      </w:tr>
      <w:tr w:rsidR="002C2D5C" w:rsidRPr="00374C95" w:rsidTr="00117893">
        <w:trPr>
          <w:trHeight w:val="288"/>
        </w:trPr>
        <w:tc>
          <w:tcPr>
            <w:tcW w:w="1118" w:type="pct"/>
            <w:tcBorders>
              <w:top w:val="single" w:sz="4" w:space="0" w:color="auto"/>
            </w:tcBorders>
            <w:shd w:val="clear" w:color="auto" w:fill="auto"/>
            <w:noWrap/>
            <w:hideMark/>
          </w:tcPr>
          <w:p w:rsidR="002C2D5C" w:rsidRPr="00374C95" w:rsidRDefault="002C2D5C" w:rsidP="00117893">
            <w:pPr>
              <w:spacing w:line="240" w:lineRule="auto"/>
              <w:rPr>
                <w:rFonts w:cstheme="minorHAnsi"/>
                <w:b/>
                <w:sz w:val="18"/>
                <w:szCs w:val="18"/>
                <w:lang w:eastAsia="zh-CN"/>
              </w:rPr>
            </w:pPr>
            <w:r w:rsidRPr="00374C95">
              <w:rPr>
                <w:rFonts w:cstheme="minorHAnsi"/>
                <w:b/>
                <w:sz w:val="18"/>
                <w:szCs w:val="18"/>
                <w:lang w:eastAsia="zh-CN"/>
              </w:rPr>
              <w:t>Other household types</w:t>
            </w:r>
          </w:p>
        </w:tc>
        <w:tc>
          <w:tcPr>
            <w:tcW w:w="1224" w:type="pct"/>
            <w:shd w:val="clear" w:color="auto" w:fill="auto"/>
            <w:noWrap/>
            <w:vAlign w:val="center"/>
            <w:hideMark/>
          </w:tcPr>
          <w:p w:rsidR="002C2D5C" w:rsidRPr="00374C95" w:rsidRDefault="002C2D5C" w:rsidP="00C378B2">
            <w:pPr>
              <w:spacing w:line="240" w:lineRule="auto"/>
              <w:jc w:val="both"/>
              <w:rPr>
                <w:rFonts w:cstheme="minorHAnsi"/>
                <w:b/>
                <w:sz w:val="18"/>
                <w:szCs w:val="18"/>
                <w:lang w:eastAsia="zh-CN"/>
              </w:rPr>
            </w:pPr>
            <w:r w:rsidRPr="00374C95">
              <w:rPr>
                <w:rFonts w:cstheme="minorHAnsi"/>
                <w:b/>
                <w:sz w:val="18"/>
                <w:szCs w:val="18"/>
                <w:lang w:eastAsia="zh-CN"/>
              </w:rPr>
              <w:t>Total</w:t>
            </w:r>
          </w:p>
        </w:tc>
        <w:tc>
          <w:tcPr>
            <w:tcW w:w="885" w:type="pct"/>
            <w:shd w:val="clear" w:color="auto" w:fill="auto"/>
            <w:noWrap/>
          </w:tcPr>
          <w:p w:rsidR="002C2D5C" w:rsidRPr="00374C95" w:rsidRDefault="009C18F7" w:rsidP="00C378B2">
            <w:pPr>
              <w:spacing w:line="240" w:lineRule="auto"/>
              <w:jc w:val="both"/>
              <w:rPr>
                <w:rFonts w:cstheme="minorHAnsi"/>
                <w:b/>
                <w:sz w:val="18"/>
                <w:szCs w:val="18"/>
                <w:lang w:eastAsia="zh-CN"/>
              </w:rPr>
            </w:pPr>
            <w:r>
              <w:rPr>
                <w:rFonts w:cstheme="minorHAnsi"/>
                <w:b/>
                <w:sz w:val="18"/>
                <w:szCs w:val="18"/>
                <w:lang w:eastAsia="zh-CN"/>
              </w:rPr>
              <w:t>33.3%</w:t>
            </w:r>
          </w:p>
        </w:tc>
        <w:tc>
          <w:tcPr>
            <w:tcW w:w="885" w:type="pct"/>
            <w:shd w:val="clear" w:color="auto" w:fill="auto"/>
            <w:noWrap/>
          </w:tcPr>
          <w:p w:rsidR="002C2D5C" w:rsidRPr="00374C95" w:rsidRDefault="00E97F0B" w:rsidP="00C378B2">
            <w:pPr>
              <w:spacing w:line="240" w:lineRule="auto"/>
              <w:jc w:val="both"/>
              <w:rPr>
                <w:rFonts w:cstheme="minorHAnsi"/>
                <w:b/>
                <w:sz w:val="18"/>
                <w:szCs w:val="18"/>
                <w:lang w:eastAsia="zh-CN"/>
              </w:rPr>
            </w:pPr>
            <w:r>
              <w:rPr>
                <w:rFonts w:cstheme="minorHAnsi"/>
                <w:b/>
                <w:sz w:val="18"/>
                <w:szCs w:val="18"/>
                <w:lang w:eastAsia="zh-CN"/>
              </w:rPr>
              <w:t>30.0%</w:t>
            </w:r>
          </w:p>
        </w:tc>
        <w:tc>
          <w:tcPr>
            <w:tcW w:w="888" w:type="pct"/>
            <w:gridSpan w:val="2"/>
            <w:shd w:val="clear" w:color="auto" w:fill="auto"/>
            <w:noWrap/>
          </w:tcPr>
          <w:p w:rsidR="002C2D5C" w:rsidRPr="00374C95" w:rsidRDefault="00E97F0B" w:rsidP="00C378B2">
            <w:pPr>
              <w:spacing w:line="240" w:lineRule="auto"/>
              <w:jc w:val="both"/>
              <w:rPr>
                <w:rFonts w:cstheme="minorHAnsi"/>
                <w:b/>
                <w:sz w:val="18"/>
                <w:szCs w:val="18"/>
                <w:lang w:eastAsia="zh-CN"/>
              </w:rPr>
            </w:pPr>
            <w:r>
              <w:rPr>
                <w:rFonts w:cstheme="minorHAnsi"/>
                <w:b/>
                <w:sz w:val="18"/>
                <w:szCs w:val="18"/>
                <w:lang w:eastAsia="zh-CN"/>
              </w:rPr>
              <w:t>28.9%</w:t>
            </w:r>
          </w:p>
        </w:tc>
      </w:tr>
    </w:tbl>
    <w:p w:rsidR="002C2D5C" w:rsidRPr="00374C95" w:rsidRDefault="002C2D5C" w:rsidP="002C2D5C">
      <w:pPr>
        <w:pStyle w:val="Source"/>
        <w:jc w:val="both"/>
        <w:rPr>
          <w:sz w:val="18"/>
          <w:szCs w:val="18"/>
          <w:lang w:val="en-GB"/>
        </w:rPr>
      </w:pPr>
      <w:r w:rsidRPr="00374C95">
        <w:rPr>
          <w:sz w:val="18"/>
          <w:szCs w:val="18"/>
          <w:lang w:val="en-GB"/>
        </w:rPr>
        <w:t>Source: ONS 2001-2011, AECOM Calculations</w:t>
      </w:r>
    </w:p>
    <w:p w:rsidR="002C2D5C" w:rsidRPr="00531369" w:rsidRDefault="002C2D5C" w:rsidP="002C2D5C">
      <w:pPr>
        <w:pStyle w:val="Heading2"/>
        <w:jc w:val="both"/>
      </w:pPr>
      <w:bookmarkStart w:id="122" w:name="_Toc527020701"/>
      <w:bookmarkStart w:id="123" w:name="_Toc533017437"/>
      <w:bookmarkStart w:id="124" w:name="_Toc536797449"/>
      <w:bookmarkStart w:id="125" w:name="_Toc4428643"/>
      <w:bookmarkStart w:id="126" w:name="_Toc33015870"/>
      <w:r w:rsidRPr="00531369">
        <w:t>Dwelling mix determined by life-stage modelling</w:t>
      </w:r>
      <w:bookmarkEnd w:id="122"/>
      <w:bookmarkEnd w:id="123"/>
      <w:bookmarkEnd w:id="124"/>
      <w:bookmarkEnd w:id="125"/>
      <w:bookmarkEnd w:id="126"/>
    </w:p>
    <w:p w:rsidR="00C057DA" w:rsidRPr="00CA4501" w:rsidRDefault="00C057DA" w:rsidP="00C057DA">
      <w:pPr>
        <w:pStyle w:val="ListNumber"/>
        <w:widowControl w:val="0"/>
        <w:jc w:val="both"/>
        <w:rPr>
          <w:sz w:val="18"/>
          <w:szCs w:val="18"/>
          <w:lang w:val="en-GB"/>
        </w:rPr>
      </w:pPr>
      <w:r w:rsidRPr="002410C3">
        <w:rPr>
          <w:sz w:val="18"/>
          <w:szCs w:val="18"/>
          <w:lang w:val="en-GB"/>
        </w:rPr>
        <w:t>Recognising</w:t>
      </w:r>
      <w:r>
        <w:rPr>
          <w:sz w:val="18"/>
          <w:szCs w:val="18"/>
        </w:rPr>
        <w:t xml:space="preserve"> the fact</w:t>
      </w:r>
      <w:r w:rsidRPr="00CA4501">
        <w:rPr>
          <w:sz w:val="18"/>
          <w:szCs w:val="18"/>
        </w:rPr>
        <w:t xml:space="preserve"> that households of different ages </w:t>
      </w:r>
      <w:r w:rsidR="00430AD8">
        <w:rPr>
          <w:sz w:val="18"/>
          <w:szCs w:val="18"/>
        </w:rPr>
        <w:t xml:space="preserve">may </w:t>
      </w:r>
      <w:r w:rsidRPr="00CA4501">
        <w:rPr>
          <w:sz w:val="18"/>
          <w:szCs w:val="18"/>
        </w:rPr>
        <w:t>h</w:t>
      </w:r>
      <w:r>
        <w:rPr>
          <w:sz w:val="18"/>
          <w:szCs w:val="18"/>
        </w:rPr>
        <w:t>ave different housing needs,</w:t>
      </w:r>
      <w:r w:rsidRPr="00CA4501">
        <w:rPr>
          <w:sz w:val="18"/>
          <w:szCs w:val="18"/>
        </w:rPr>
        <w:t xml:space="preserve"> </w:t>
      </w:r>
      <w:r w:rsidRPr="00CA4501">
        <w:rPr>
          <w:sz w:val="18"/>
          <w:szCs w:val="18"/>
          <w:lang w:val="en-GB"/>
        </w:rPr>
        <w:t>the housing mix needed</w:t>
      </w:r>
      <w:r w:rsidR="00430AD8">
        <w:rPr>
          <w:sz w:val="18"/>
          <w:szCs w:val="18"/>
          <w:lang w:val="en-GB"/>
        </w:rPr>
        <w:t xml:space="preserve"> to meet demographic change</w:t>
      </w:r>
      <w:r w:rsidRPr="00CA4501">
        <w:rPr>
          <w:sz w:val="18"/>
          <w:szCs w:val="18"/>
          <w:lang w:val="en-GB"/>
        </w:rPr>
        <w:t xml:space="preserve"> by the en</w:t>
      </w:r>
      <w:r w:rsidR="00F16F43">
        <w:rPr>
          <w:sz w:val="18"/>
          <w:szCs w:val="18"/>
          <w:lang w:val="en-GB"/>
        </w:rPr>
        <w:t>d of the P</w:t>
      </w:r>
      <w:r w:rsidRPr="00CA4501">
        <w:rPr>
          <w:sz w:val="18"/>
          <w:szCs w:val="18"/>
          <w:lang w:val="en-GB"/>
        </w:rPr>
        <w:t>lan pe</w:t>
      </w:r>
      <w:r>
        <w:rPr>
          <w:sz w:val="18"/>
          <w:szCs w:val="18"/>
          <w:lang w:val="en-GB"/>
        </w:rPr>
        <w:t xml:space="preserve">riod </w:t>
      </w:r>
      <w:r w:rsidR="00430AD8">
        <w:rPr>
          <w:sz w:val="18"/>
          <w:szCs w:val="18"/>
          <w:lang w:val="en-GB"/>
        </w:rPr>
        <w:t xml:space="preserve">is estimated by </w:t>
      </w:r>
      <w:r>
        <w:rPr>
          <w:sz w:val="18"/>
          <w:szCs w:val="18"/>
          <w:lang w:val="en-GB"/>
        </w:rPr>
        <w:t xml:space="preserve">an approach based on </w:t>
      </w:r>
      <w:r w:rsidRPr="00CA4501">
        <w:rPr>
          <w:sz w:val="18"/>
          <w:szCs w:val="18"/>
          <w:lang w:val="en-GB"/>
        </w:rPr>
        <w:t xml:space="preserve">current occupation patterns – that is, the propensity of households of different ages to occupy different types of accommodation – will persist into the future. For example, projected growth in households aged </w:t>
      </w:r>
      <w:r w:rsidR="006F668D">
        <w:rPr>
          <w:sz w:val="18"/>
          <w:szCs w:val="18"/>
          <w:lang w:val="en-GB"/>
        </w:rPr>
        <w:t>under 24</w:t>
      </w:r>
      <w:r w:rsidRPr="00CA4501">
        <w:rPr>
          <w:sz w:val="18"/>
          <w:szCs w:val="18"/>
          <w:lang w:val="en-GB"/>
        </w:rPr>
        <w:t xml:space="preserve"> will lead to an increase in the need for the type of housing currently occupied by households of that age</w:t>
      </w:r>
      <w:r w:rsidR="00D91AFD">
        <w:rPr>
          <w:sz w:val="18"/>
          <w:szCs w:val="18"/>
          <w:lang w:val="en-GB"/>
        </w:rPr>
        <w:t>.</w:t>
      </w:r>
      <w:r w:rsidR="00476DB8">
        <w:rPr>
          <w:sz w:val="18"/>
          <w:szCs w:val="18"/>
          <w:lang w:val="en-GB"/>
        </w:rPr>
        <w:t xml:space="preserve"> It is important to keep in mind that this exercise provides an estimate based on demographic trends and occupancy patterns alone. It does not take into account income and wealth</w:t>
      </w:r>
      <w:r w:rsidR="00430AD8">
        <w:rPr>
          <w:sz w:val="18"/>
          <w:szCs w:val="18"/>
          <w:lang w:val="en-GB"/>
        </w:rPr>
        <w:t>,</w:t>
      </w:r>
      <w:r w:rsidR="00476DB8">
        <w:rPr>
          <w:sz w:val="18"/>
          <w:szCs w:val="18"/>
          <w:lang w:val="en-GB"/>
        </w:rPr>
        <w:t xml:space="preserve"> other than in an indirect way through the propensity of households to occupy more or less space than they ‘need’. </w:t>
      </w:r>
      <w:r w:rsidR="00430AD8">
        <w:rPr>
          <w:sz w:val="18"/>
          <w:szCs w:val="18"/>
          <w:lang w:val="en-GB"/>
        </w:rPr>
        <w:t xml:space="preserve">This approach also embeds existing patterns of occupancy which may or may not be desirable. This is particularly important to keep in mind in areas where housing affordability has worsened because it means that many households are forced to occupy less space than they need or want. </w:t>
      </w:r>
    </w:p>
    <w:p w:rsidR="00C057DA" w:rsidRDefault="00C057DA" w:rsidP="00C057DA">
      <w:pPr>
        <w:pStyle w:val="ListNumber"/>
        <w:widowControl w:val="0"/>
        <w:jc w:val="both"/>
        <w:rPr>
          <w:sz w:val="18"/>
          <w:szCs w:val="18"/>
        </w:rPr>
      </w:pPr>
      <w:r w:rsidRPr="00C057DA">
        <w:rPr>
          <w:sz w:val="18"/>
          <w:szCs w:val="18"/>
        </w:rPr>
        <w:t xml:space="preserve">However, no data on housing size occupation by age of the </w:t>
      </w:r>
      <w:r w:rsidR="00816570">
        <w:rPr>
          <w:sz w:val="18"/>
          <w:szCs w:val="18"/>
        </w:rPr>
        <w:t>Household Reference Person (</w:t>
      </w:r>
      <w:r>
        <w:rPr>
          <w:sz w:val="18"/>
          <w:szCs w:val="18"/>
        </w:rPr>
        <w:t>HRP</w:t>
      </w:r>
      <w:r w:rsidR="00816570">
        <w:rPr>
          <w:sz w:val="18"/>
          <w:szCs w:val="18"/>
        </w:rPr>
        <w:t>- a more modern term for ‘head of household’)</w:t>
      </w:r>
      <w:r>
        <w:rPr>
          <w:sz w:val="18"/>
          <w:szCs w:val="18"/>
        </w:rPr>
        <w:t xml:space="preserve"> </w:t>
      </w:r>
      <w:r w:rsidRPr="00C057DA">
        <w:rPr>
          <w:sz w:val="18"/>
          <w:szCs w:val="18"/>
        </w:rPr>
        <w:t xml:space="preserve">is available at </w:t>
      </w:r>
      <w:r w:rsidR="005F50BC">
        <w:rPr>
          <w:sz w:val="18"/>
          <w:szCs w:val="18"/>
        </w:rPr>
        <w:t>neighbourhood</w:t>
      </w:r>
      <w:r>
        <w:rPr>
          <w:sz w:val="18"/>
          <w:szCs w:val="18"/>
        </w:rPr>
        <w:t xml:space="preserve"> level. For this reason, </w:t>
      </w:r>
      <w:r w:rsidRPr="00C057DA">
        <w:rPr>
          <w:sz w:val="18"/>
          <w:szCs w:val="18"/>
        </w:rPr>
        <w:t>LPA</w:t>
      </w:r>
      <w:r>
        <w:rPr>
          <w:sz w:val="18"/>
          <w:szCs w:val="18"/>
        </w:rPr>
        <w:t xml:space="preserve">-level data </w:t>
      </w:r>
      <w:r w:rsidRPr="00C057DA">
        <w:rPr>
          <w:sz w:val="18"/>
          <w:szCs w:val="18"/>
        </w:rPr>
        <w:t>need</w:t>
      </w:r>
      <w:r>
        <w:rPr>
          <w:sz w:val="18"/>
          <w:szCs w:val="18"/>
        </w:rPr>
        <w:t>s to be used as the closest</w:t>
      </w:r>
      <w:r w:rsidRPr="00C057DA">
        <w:rPr>
          <w:sz w:val="18"/>
          <w:szCs w:val="18"/>
        </w:rPr>
        <w:t xml:space="preserve"> proxy. </w:t>
      </w:r>
    </w:p>
    <w:p w:rsidR="00C057DA" w:rsidRPr="00C057DA" w:rsidRDefault="001A69AC" w:rsidP="00C057DA">
      <w:pPr>
        <w:pStyle w:val="ListNumber"/>
        <w:widowControl w:val="0"/>
        <w:jc w:val="both"/>
        <w:rPr>
          <w:sz w:val="18"/>
          <w:szCs w:val="18"/>
        </w:rPr>
      </w:pPr>
      <w:fldSimple w:instr=" REF _Ref7857807 \h  \* MERGEFORMAT ">
        <w:r w:rsidR="00E14AFB" w:rsidRPr="002D4F56">
          <w:rPr>
            <w:sz w:val="18"/>
            <w:szCs w:val="18"/>
          </w:rPr>
          <w:t xml:space="preserve">Figure </w:t>
        </w:r>
        <w:r w:rsidR="00E14AFB">
          <w:rPr>
            <w:noProof/>
            <w:sz w:val="18"/>
            <w:szCs w:val="18"/>
          </w:rPr>
          <w:t>6</w:t>
        </w:r>
        <w:r w:rsidR="00E14AFB" w:rsidRPr="002D4F56">
          <w:rPr>
            <w:noProof/>
            <w:sz w:val="18"/>
            <w:szCs w:val="18"/>
          </w:rPr>
          <w:noBreakHyphen/>
        </w:r>
        <w:r w:rsidR="00E14AFB">
          <w:rPr>
            <w:noProof/>
            <w:sz w:val="18"/>
            <w:szCs w:val="18"/>
          </w:rPr>
          <w:t>2</w:t>
        </w:r>
      </w:fldSimple>
      <w:r w:rsidR="00C057DA" w:rsidRPr="00C057DA">
        <w:rPr>
          <w:sz w:val="18"/>
          <w:szCs w:val="18"/>
        </w:rPr>
        <w:t xml:space="preserve"> b</w:t>
      </w:r>
      <w:r w:rsidR="00C057DA">
        <w:rPr>
          <w:sz w:val="18"/>
          <w:szCs w:val="18"/>
        </w:rPr>
        <w:t xml:space="preserve">elow sets out the relationship in the 2011 Census </w:t>
      </w:r>
      <w:r w:rsidR="00D91AFD">
        <w:rPr>
          <w:sz w:val="18"/>
          <w:szCs w:val="18"/>
        </w:rPr>
        <w:t xml:space="preserve">at LPA level </w:t>
      </w:r>
      <w:r w:rsidR="00C057DA">
        <w:rPr>
          <w:sz w:val="18"/>
          <w:szCs w:val="18"/>
        </w:rPr>
        <w:t xml:space="preserve">between the age of the </w:t>
      </w:r>
      <w:r w:rsidR="00816570">
        <w:rPr>
          <w:sz w:val="18"/>
          <w:szCs w:val="18"/>
        </w:rPr>
        <w:t xml:space="preserve">HRP </w:t>
      </w:r>
      <w:r w:rsidR="00C057DA">
        <w:rPr>
          <w:sz w:val="18"/>
          <w:szCs w:val="18"/>
        </w:rPr>
        <w:t>and the size of dwelling occupied. This provides the starting point for determining the most appropriate dwelling size mix by the end of</w:t>
      </w:r>
      <w:r w:rsidR="00D91AFD">
        <w:rPr>
          <w:sz w:val="18"/>
          <w:szCs w:val="18"/>
        </w:rPr>
        <w:t xml:space="preserve"> the Neighbourhood Plan period</w:t>
      </w:r>
      <w:r w:rsidR="00C057DA">
        <w:rPr>
          <w:sz w:val="18"/>
          <w:szCs w:val="18"/>
        </w:rPr>
        <w:t xml:space="preserve">. The data shows that </w:t>
      </w:r>
      <w:r w:rsidR="0042304B">
        <w:rPr>
          <w:sz w:val="18"/>
          <w:szCs w:val="18"/>
        </w:rPr>
        <w:t xml:space="preserve">while </w:t>
      </w:r>
      <w:r w:rsidR="008F0F34">
        <w:rPr>
          <w:sz w:val="18"/>
          <w:szCs w:val="18"/>
        </w:rPr>
        <w:t xml:space="preserve">a majority of Reedham households under the age of 30 live in 1 or 2 bedroom dwellings, the proportion of household occupying these smaller dwellings declines steeply as age increases, until the proportion begins to climb again from the 55-59 category. 3 bedroom dwellings are the most common size for 11 out of the 14 age bands seen here. The occupation of 4 bedroom dwellings follows a pattern that is roughly </w:t>
      </w:r>
      <w:proofErr w:type="gramStart"/>
      <w:r w:rsidR="008F0F34">
        <w:rPr>
          <w:sz w:val="18"/>
          <w:szCs w:val="18"/>
        </w:rPr>
        <w:t>inverse</w:t>
      </w:r>
      <w:proofErr w:type="gramEnd"/>
      <w:r w:rsidR="008F0F34">
        <w:rPr>
          <w:sz w:val="18"/>
          <w:szCs w:val="18"/>
        </w:rPr>
        <w:t xml:space="preserve"> to that seen for 2 bedroom dwellings, peaking at age 50-54 and age 55-59. 5 bedrooms dwellings follow a similar pattern to 4 bedroom dwellings. </w:t>
      </w:r>
    </w:p>
    <w:p w:rsidR="00C057DA" w:rsidRPr="002D4F56" w:rsidRDefault="00F366EA" w:rsidP="00D91AFD">
      <w:pPr>
        <w:pStyle w:val="Caption"/>
        <w:jc w:val="both"/>
        <w:rPr>
          <w:sz w:val="18"/>
          <w:szCs w:val="18"/>
        </w:rPr>
      </w:pPr>
      <w:bookmarkStart w:id="127" w:name="_Ref5974730"/>
      <w:bookmarkStart w:id="128" w:name="_Ref7857807"/>
      <w:r>
        <w:rPr>
          <w:noProof/>
        </w:rPr>
        <w:lastRenderedPageBreak/>
        <w:drawing>
          <wp:anchor distT="0" distB="0" distL="114300" distR="114300" simplePos="0" relativeHeight="251667456" behindDoc="0" locked="0" layoutInCell="1" allowOverlap="1">
            <wp:simplePos x="0" y="0"/>
            <wp:positionH relativeFrom="column">
              <wp:posOffset>275590</wp:posOffset>
            </wp:positionH>
            <wp:positionV relativeFrom="paragraph">
              <wp:posOffset>225425</wp:posOffset>
            </wp:positionV>
            <wp:extent cx="5970905" cy="3132455"/>
            <wp:effectExtent l="0" t="0" r="10795" b="10795"/>
            <wp:wrapThrough wrapText="bothSides">
              <wp:wrapPolygon edited="0">
                <wp:start x="0" y="0"/>
                <wp:lineTo x="0" y="21543"/>
                <wp:lineTo x="21570" y="21543"/>
                <wp:lineTo x="21570" y="0"/>
                <wp:lineTo x="0" y="0"/>
              </wp:wrapPolygon>
            </wp:wrapThrough>
            <wp:docPr id="19" name="Chart 19">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900AA6EE-DBD0-4EA8-88E7-1AC0BEEE8B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r w:rsidR="00C057DA" w:rsidRPr="002D4F56">
        <w:rPr>
          <w:sz w:val="18"/>
          <w:szCs w:val="18"/>
        </w:rPr>
        <w:t xml:space="preserve">Figure </w:t>
      </w:r>
      <w:r w:rsidR="001A69AC" w:rsidRPr="002D4F56">
        <w:rPr>
          <w:sz w:val="18"/>
          <w:szCs w:val="18"/>
        </w:rPr>
        <w:fldChar w:fldCharType="begin"/>
      </w:r>
      <w:r w:rsidR="00647F88" w:rsidRPr="002D4F56">
        <w:rPr>
          <w:sz w:val="18"/>
          <w:szCs w:val="18"/>
        </w:rPr>
        <w:instrText xml:space="preserve"> STYLEREF 1 \s </w:instrText>
      </w:r>
      <w:r w:rsidR="001A69AC" w:rsidRPr="002D4F56">
        <w:rPr>
          <w:sz w:val="18"/>
          <w:szCs w:val="18"/>
        </w:rPr>
        <w:fldChar w:fldCharType="separate"/>
      </w:r>
      <w:r w:rsidR="00E14AFB">
        <w:rPr>
          <w:noProof/>
          <w:sz w:val="18"/>
          <w:szCs w:val="18"/>
        </w:rPr>
        <w:t>6</w:t>
      </w:r>
      <w:r w:rsidR="001A69AC" w:rsidRPr="002D4F56">
        <w:rPr>
          <w:sz w:val="18"/>
          <w:szCs w:val="18"/>
        </w:rPr>
        <w:fldChar w:fldCharType="end"/>
      </w:r>
      <w:r w:rsidR="00C057DA" w:rsidRPr="002D4F56">
        <w:rPr>
          <w:sz w:val="18"/>
          <w:szCs w:val="18"/>
        </w:rPr>
        <w:noBreakHyphen/>
      </w:r>
      <w:r w:rsidR="001A69AC" w:rsidRPr="002D4F56">
        <w:rPr>
          <w:sz w:val="18"/>
          <w:szCs w:val="18"/>
        </w:rPr>
        <w:fldChar w:fldCharType="begin"/>
      </w:r>
      <w:r w:rsidR="00647F88" w:rsidRPr="002D4F56">
        <w:rPr>
          <w:sz w:val="18"/>
          <w:szCs w:val="18"/>
        </w:rPr>
        <w:instrText xml:space="preserve"> SEQ Figure \* ARABIC \s 1 </w:instrText>
      </w:r>
      <w:r w:rsidR="001A69AC" w:rsidRPr="002D4F56">
        <w:rPr>
          <w:sz w:val="18"/>
          <w:szCs w:val="18"/>
        </w:rPr>
        <w:fldChar w:fldCharType="separate"/>
      </w:r>
      <w:r w:rsidR="00E14AFB">
        <w:rPr>
          <w:noProof/>
          <w:sz w:val="18"/>
          <w:szCs w:val="18"/>
        </w:rPr>
        <w:t>2</w:t>
      </w:r>
      <w:r w:rsidR="001A69AC" w:rsidRPr="002D4F56">
        <w:rPr>
          <w:sz w:val="18"/>
          <w:szCs w:val="18"/>
        </w:rPr>
        <w:fldChar w:fldCharType="end"/>
      </w:r>
      <w:bookmarkEnd w:id="127"/>
      <w:bookmarkEnd w:id="128"/>
      <w:r w:rsidR="00C057DA" w:rsidRPr="002D4F56">
        <w:rPr>
          <w:sz w:val="18"/>
          <w:szCs w:val="18"/>
        </w:rPr>
        <w:t xml:space="preserve">: Age of household </w:t>
      </w:r>
      <w:r w:rsidR="002D4F56">
        <w:rPr>
          <w:sz w:val="18"/>
          <w:szCs w:val="18"/>
        </w:rPr>
        <w:t>reference person by</w:t>
      </w:r>
      <w:r w:rsidR="00D91AFD" w:rsidRPr="002D4F56">
        <w:rPr>
          <w:sz w:val="18"/>
          <w:szCs w:val="18"/>
        </w:rPr>
        <w:t xml:space="preserve"> </w:t>
      </w:r>
      <w:r w:rsidR="002D4F56">
        <w:rPr>
          <w:sz w:val="18"/>
          <w:szCs w:val="18"/>
        </w:rPr>
        <w:t xml:space="preserve">dwelling </w:t>
      </w:r>
      <w:r w:rsidR="00D91AFD" w:rsidRPr="002D4F56">
        <w:rPr>
          <w:sz w:val="18"/>
          <w:szCs w:val="18"/>
        </w:rPr>
        <w:t xml:space="preserve">size in </w:t>
      </w:r>
      <w:r w:rsidR="00B72269">
        <w:rPr>
          <w:sz w:val="18"/>
          <w:szCs w:val="18"/>
        </w:rPr>
        <w:t>Broadland</w:t>
      </w:r>
      <w:r w:rsidR="002D4F56">
        <w:rPr>
          <w:sz w:val="18"/>
          <w:szCs w:val="18"/>
        </w:rPr>
        <w:t>, 2011</w:t>
      </w:r>
    </w:p>
    <w:p w:rsidR="00C057DA" w:rsidRDefault="00C057DA" w:rsidP="00952394">
      <w:pPr>
        <w:pStyle w:val="Source"/>
        <w:jc w:val="both"/>
        <w:rPr>
          <w:lang w:val="en-GB"/>
        </w:rPr>
      </w:pPr>
      <w:r w:rsidRPr="00D91AFD">
        <w:rPr>
          <w:lang w:val="en-GB"/>
        </w:rPr>
        <w:t>Source: ONS 2011, AECOM Calculations</w:t>
      </w:r>
    </w:p>
    <w:p w:rsidR="002C2D5C" w:rsidRPr="006958B1" w:rsidRDefault="00430AD8" w:rsidP="002C2D5C">
      <w:pPr>
        <w:pStyle w:val="ListNumber"/>
        <w:spacing w:before="0"/>
        <w:jc w:val="both"/>
        <w:rPr>
          <w:b/>
          <w:sz w:val="18"/>
          <w:szCs w:val="18"/>
          <w:lang w:val="en-GB"/>
        </w:rPr>
      </w:pPr>
      <w:r>
        <w:rPr>
          <w:sz w:val="18"/>
          <w:szCs w:val="18"/>
          <w:lang w:val="en-GB"/>
        </w:rPr>
        <w:t>H</w:t>
      </w:r>
      <w:r w:rsidR="002C2D5C" w:rsidRPr="006958B1">
        <w:rPr>
          <w:sz w:val="18"/>
          <w:szCs w:val="18"/>
          <w:lang w:val="en-GB"/>
        </w:rPr>
        <w:t xml:space="preserve">ousehold projections provided by MHCLG </w:t>
      </w:r>
      <w:r>
        <w:rPr>
          <w:sz w:val="18"/>
          <w:szCs w:val="18"/>
          <w:lang w:val="en-GB"/>
        </w:rPr>
        <w:t xml:space="preserve">are then used </w:t>
      </w:r>
      <w:r w:rsidR="002C2D5C" w:rsidRPr="006958B1">
        <w:rPr>
          <w:sz w:val="18"/>
          <w:szCs w:val="18"/>
          <w:lang w:val="en-GB"/>
        </w:rPr>
        <w:t xml:space="preserve">to understand the future distribution of households by the age of </w:t>
      </w:r>
      <w:r w:rsidR="006958B1" w:rsidRPr="006958B1">
        <w:rPr>
          <w:sz w:val="18"/>
          <w:szCs w:val="18"/>
          <w:lang w:val="en-GB"/>
        </w:rPr>
        <w:t>the HRP</w:t>
      </w:r>
      <w:r w:rsidR="006958B1">
        <w:rPr>
          <w:sz w:val="18"/>
          <w:szCs w:val="18"/>
          <w:lang w:val="en-GB"/>
        </w:rPr>
        <w:t>. Again,</w:t>
      </w:r>
      <w:r w:rsidR="005F54A3">
        <w:rPr>
          <w:sz w:val="18"/>
          <w:szCs w:val="18"/>
          <w:lang w:val="en-GB"/>
        </w:rPr>
        <w:t xml:space="preserve"> </w:t>
      </w:r>
      <w:r w:rsidR="006958B1">
        <w:rPr>
          <w:sz w:val="18"/>
          <w:szCs w:val="18"/>
          <w:lang w:val="en-GB"/>
        </w:rPr>
        <w:t>t</w:t>
      </w:r>
      <w:r w:rsidR="002C2D5C" w:rsidRPr="006958B1">
        <w:rPr>
          <w:sz w:val="18"/>
          <w:szCs w:val="18"/>
          <w:lang w:val="en-GB"/>
        </w:rPr>
        <w:t xml:space="preserve">his data is only available at the </w:t>
      </w:r>
      <w:r w:rsidR="00F366EA">
        <w:rPr>
          <w:sz w:val="18"/>
          <w:szCs w:val="18"/>
          <w:lang w:val="en-GB"/>
        </w:rPr>
        <w:t>district</w:t>
      </w:r>
      <w:r w:rsidR="002C2D5C" w:rsidRPr="006958B1">
        <w:rPr>
          <w:sz w:val="18"/>
          <w:szCs w:val="18"/>
          <w:lang w:val="en-GB"/>
        </w:rPr>
        <w:t xml:space="preserve"> level and for the years 2014 and 2039. Therefore, the distribution of households by the age of the HRP </w:t>
      </w:r>
      <w:r w:rsidR="002C2D5C" w:rsidRPr="00117893">
        <w:rPr>
          <w:color w:val="auto"/>
          <w:sz w:val="18"/>
          <w:szCs w:val="18"/>
          <w:lang w:val="en-GB"/>
        </w:rPr>
        <w:t xml:space="preserve">would be in </w:t>
      </w:r>
      <w:r w:rsidR="009D3B34" w:rsidRPr="00117893">
        <w:rPr>
          <w:color w:val="auto"/>
          <w:sz w:val="18"/>
          <w:szCs w:val="18"/>
          <w:lang w:val="en-GB"/>
        </w:rPr>
        <w:t>2036</w:t>
      </w:r>
      <w:r w:rsidRPr="00117893">
        <w:rPr>
          <w:color w:val="auto"/>
          <w:sz w:val="18"/>
          <w:szCs w:val="18"/>
          <w:lang w:val="en-GB"/>
        </w:rPr>
        <w:t xml:space="preserve"> is estimated</w:t>
      </w:r>
      <w:r w:rsidR="006958B1" w:rsidRPr="00F366EA">
        <w:rPr>
          <w:color w:val="auto"/>
          <w:sz w:val="18"/>
          <w:szCs w:val="18"/>
          <w:lang w:val="en-GB"/>
        </w:rPr>
        <w:t xml:space="preserve">, i.e. </w:t>
      </w:r>
      <w:r w:rsidR="006958B1" w:rsidRPr="006958B1">
        <w:rPr>
          <w:color w:val="auto"/>
          <w:sz w:val="18"/>
          <w:szCs w:val="18"/>
          <w:lang w:val="en-GB"/>
        </w:rPr>
        <w:t>the end of the Neighbourhood Plan period</w:t>
      </w:r>
      <w:r w:rsidR="002C2D5C" w:rsidRPr="006958B1">
        <w:rPr>
          <w:sz w:val="18"/>
          <w:szCs w:val="18"/>
          <w:lang w:val="en-GB"/>
        </w:rPr>
        <w:t xml:space="preserve"> (red in the table). The data is presented in </w:t>
      </w:r>
      <w:fldSimple w:instr=" REF _Ref2605510 \h  \* MERGEFORMAT ">
        <w:r w:rsidR="00E14AFB" w:rsidRPr="002D4F56">
          <w:rPr>
            <w:sz w:val="18"/>
            <w:szCs w:val="18"/>
          </w:rPr>
          <w:t xml:space="preserve">Table </w:t>
        </w:r>
        <w:r w:rsidR="00E14AFB">
          <w:rPr>
            <w:noProof/>
            <w:sz w:val="18"/>
            <w:szCs w:val="18"/>
          </w:rPr>
          <w:t>6</w:t>
        </w:r>
        <w:r w:rsidR="00E14AFB" w:rsidRPr="002D4F56">
          <w:rPr>
            <w:noProof/>
            <w:sz w:val="18"/>
            <w:szCs w:val="18"/>
          </w:rPr>
          <w:noBreakHyphen/>
        </w:r>
        <w:r w:rsidR="00E14AFB">
          <w:rPr>
            <w:noProof/>
            <w:sz w:val="18"/>
            <w:szCs w:val="18"/>
          </w:rPr>
          <w:t>9</w:t>
        </w:r>
      </w:fldSimple>
      <w:r w:rsidR="002C2D5C" w:rsidRPr="006958B1">
        <w:rPr>
          <w:color w:val="FF0000"/>
          <w:sz w:val="18"/>
          <w:szCs w:val="18"/>
          <w:lang w:val="en-GB"/>
        </w:rPr>
        <w:t xml:space="preserve"> </w:t>
      </w:r>
      <w:r w:rsidR="002C2D5C" w:rsidRPr="006958B1">
        <w:rPr>
          <w:sz w:val="18"/>
          <w:szCs w:val="18"/>
          <w:lang w:val="en-GB"/>
        </w:rPr>
        <w:t>below.</w:t>
      </w:r>
    </w:p>
    <w:p w:rsidR="002C2D5C" w:rsidRPr="002563D0" w:rsidRDefault="002C2D5C" w:rsidP="002C2D5C">
      <w:pPr>
        <w:pStyle w:val="Caption"/>
        <w:jc w:val="both"/>
        <w:rPr>
          <w:sz w:val="18"/>
          <w:szCs w:val="18"/>
        </w:rPr>
      </w:pPr>
      <w:bookmarkStart w:id="129" w:name="_Ref2605510"/>
      <w:r w:rsidRPr="002563D0">
        <w:rPr>
          <w:sz w:val="18"/>
          <w:szCs w:val="18"/>
        </w:rPr>
        <w:t xml:space="preserve">Table </w:t>
      </w:r>
      <w:r w:rsidR="001A69AC" w:rsidRPr="002563D0">
        <w:rPr>
          <w:noProof/>
          <w:sz w:val="18"/>
          <w:szCs w:val="18"/>
        </w:rPr>
        <w:fldChar w:fldCharType="begin"/>
      </w:r>
      <w:r w:rsidRPr="002563D0">
        <w:rPr>
          <w:noProof/>
          <w:sz w:val="18"/>
          <w:szCs w:val="18"/>
        </w:rPr>
        <w:instrText xml:space="preserve"> STYLEREF 1 \s </w:instrText>
      </w:r>
      <w:r w:rsidR="001A69AC" w:rsidRPr="002563D0">
        <w:rPr>
          <w:noProof/>
          <w:sz w:val="18"/>
          <w:szCs w:val="18"/>
        </w:rPr>
        <w:fldChar w:fldCharType="separate"/>
      </w:r>
      <w:r w:rsidR="00E14AFB" w:rsidRPr="002563D0">
        <w:rPr>
          <w:noProof/>
          <w:sz w:val="18"/>
          <w:szCs w:val="18"/>
        </w:rPr>
        <w:t>6</w:t>
      </w:r>
      <w:r w:rsidR="001A69AC" w:rsidRPr="002563D0">
        <w:rPr>
          <w:noProof/>
          <w:sz w:val="18"/>
          <w:szCs w:val="18"/>
        </w:rPr>
        <w:fldChar w:fldCharType="end"/>
      </w:r>
      <w:r w:rsidRPr="002563D0">
        <w:rPr>
          <w:sz w:val="18"/>
          <w:szCs w:val="18"/>
        </w:rPr>
        <w:noBreakHyphen/>
      </w:r>
      <w:r w:rsidR="001A69AC" w:rsidRPr="002563D0">
        <w:rPr>
          <w:noProof/>
          <w:sz w:val="18"/>
          <w:szCs w:val="18"/>
        </w:rPr>
        <w:fldChar w:fldCharType="begin"/>
      </w:r>
      <w:r w:rsidRPr="002563D0">
        <w:rPr>
          <w:noProof/>
          <w:sz w:val="18"/>
          <w:szCs w:val="18"/>
        </w:rPr>
        <w:instrText xml:space="preserve"> SEQ Table \* ARABIC \s 1 </w:instrText>
      </w:r>
      <w:r w:rsidR="001A69AC" w:rsidRPr="002563D0">
        <w:rPr>
          <w:noProof/>
          <w:sz w:val="18"/>
          <w:szCs w:val="18"/>
        </w:rPr>
        <w:fldChar w:fldCharType="separate"/>
      </w:r>
      <w:r w:rsidR="00E14AFB" w:rsidRPr="002563D0">
        <w:rPr>
          <w:noProof/>
          <w:sz w:val="18"/>
          <w:szCs w:val="18"/>
        </w:rPr>
        <w:t>9</w:t>
      </w:r>
      <w:r w:rsidR="001A69AC" w:rsidRPr="002563D0">
        <w:rPr>
          <w:noProof/>
          <w:sz w:val="18"/>
          <w:szCs w:val="18"/>
        </w:rPr>
        <w:fldChar w:fldCharType="end"/>
      </w:r>
      <w:bookmarkEnd w:id="129"/>
      <w:r w:rsidRPr="002563D0">
        <w:rPr>
          <w:sz w:val="18"/>
          <w:szCs w:val="18"/>
        </w:rPr>
        <w:t>: Projected distribution of h</w:t>
      </w:r>
      <w:r w:rsidR="002D4F56" w:rsidRPr="002563D0">
        <w:rPr>
          <w:sz w:val="18"/>
          <w:szCs w:val="18"/>
        </w:rPr>
        <w:t xml:space="preserve">ouseholds by age of HRP, </w:t>
      </w:r>
      <w:r w:rsidR="003D4AAC" w:rsidRPr="002563D0">
        <w:rPr>
          <w:sz w:val="18"/>
          <w:szCs w:val="18"/>
        </w:rPr>
        <w:t>Broadland</w:t>
      </w:r>
      <w:r w:rsidR="00A71637" w:rsidRPr="002563D0">
        <w:rPr>
          <w:sz w:val="18"/>
          <w:szCs w:val="18"/>
        </w:rPr>
        <w:t xml:space="preserve"> –</w:t>
      </w:r>
    </w:p>
    <w:tbl>
      <w:tblPr>
        <w:tblW w:w="4791" w:type="pct"/>
        <w:tblInd w:w="421" w:type="dxa"/>
        <w:tblLayout w:type="fixed"/>
        <w:tblLook w:val="04A0"/>
      </w:tblPr>
      <w:tblGrid>
        <w:gridCol w:w="1704"/>
        <w:gridCol w:w="1586"/>
        <w:gridCol w:w="1585"/>
        <w:gridCol w:w="1585"/>
        <w:gridCol w:w="1585"/>
        <w:gridCol w:w="1585"/>
      </w:tblGrid>
      <w:tr w:rsidR="002C2D5C" w:rsidRPr="002563D0" w:rsidTr="00C378B2">
        <w:trPr>
          <w:trHeight w:val="288"/>
        </w:trPr>
        <w:tc>
          <w:tcPr>
            <w:tcW w:w="884" w:type="pct"/>
            <w:tcBorders>
              <w:top w:val="single" w:sz="4" w:space="0" w:color="auto"/>
              <w:left w:val="single" w:sz="4" w:space="0" w:color="auto"/>
              <w:bottom w:val="single" w:sz="4" w:space="0" w:color="auto"/>
              <w:right w:val="single" w:sz="4" w:space="0" w:color="auto"/>
            </w:tcBorders>
            <w:shd w:val="clear" w:color="auto" w:fill="000000" w:themeFill="text1"/>
            <w:noWrap/>
            <w:vAlign w:val="center"/>
            <w:hideMark/>
          </w:tcPr>
          <w:p w:rsidR="002C2D5C" w:rsidRPr="002563D0" w:rsidRDefault="002C2D5C" w:rsidP="00C378B2">
            <w:pPr>
              <w:spacing w:line="240" w:lineRule="auto"/>
              <w:jc w:val="both"/>
              <w:rPr>
                <w:rFonts w:cstheme="minorHAnsi"/>
                <w:b/>
                <w:sz w:val="18"/>
                <w:szCs w:val="18"/>
              </w:rPr>
            </w:pPr>
            <w:r w:rsidRPr="002563D0">
              <w:rPr>
                <w:rFonts w:cstheme="minorHAnsi"/>
                <w:sz w:val="18"/>
                <w:szCs w:val="18"/>
              </w:rPr>
              <w:t> </w:t>
            </w:r>
            <w:r w:rsidRPr="002563D0">
              <w:rPr>
                <w:rFonts w:cstheme="minorHAnsi"/>
                <w:b/>
                <w:color w:val="FFFFFF" w:themeColor="background1"/>
                <w:sz w:val="18"/>
                <w:szCs w:val="18"/>
              </w:rPr>
              <w:t>Year</w:t>
            </w:r>
          </w:p>
        </w:tc>
        <w:tc>
          <w:tcPr>
            <w:tcW w:w="823" w:type="pct"/>
            <w:tcBorders>
              <w:top w:val="single" w:sz="4" w:space="0" w:color="auto"/>
              <w:left w:val="nil"/>
              <w:bottom w:val="single" w:sz="4" w:space="0" w:color="auto"/>
              <w:right w:val="single" w:sz="4" w:space="0" w:color="auto"/>
            </w:tcBorders>
            <w:shd w:val="clear" w:color="000000" w:fill="000000"/>
            <w:noWrap/>
            <w:vAlign w:val="center"/>
            <w:hideMark/>
          </w:tcPr>
          <w:p w:rsidR="002C2D5C" w:rsidRPr="002563D0" w:rsidRDefault="002C2D5C" w:rsidP="00C378B2">
            <w:pPr>
              <w:spacing w:line="240" w:lineRule="auto"/>
              <w:jc w:val="both"/>
              <w:rPr>
                <w:rFonts w:cstheme="minorHAnsi"/>
                <w:b/>
                <w:bCs/>
                <w:color w:val="FFFFFF"/>
                <w:sz w:val="18"/>
                <w:szCs w:val="18"/>
              </w:rPr>
            </w:pPr>
            <w:r w:rsidRPr="002563D0">
              <w:rPr>
                <w:rFonts w:cstheme="minorHAnsi"/>
                <w:b/>
                <w:bCs/>
                <w:color w:val="FFFFFF"/>
                <w:sz w:val="18"/>
                <w:szCs w:val="18"/>
              </w:rPr>
              <w:t>Age of HRP 24 and under</w:t>
            </w:r>
          </w:p>
        </w:tc>
        <w:tc>
          <w:tcPr>
            <w:tcW w:w="823" w:type="pct"/>
            <w:tcBorders>
              <w:top w:val="single" w:sz="4" w:space="0" w:color="auto"/>
              <w:left w:val="nil"/>
              <w:bottom w:val="single" w:sz="4" w:space="0" w:color="auto"/>
              <w:right w:val="single" w:sz="4" w:space="0" w:color="auto"/>
            </w:tcBorders>
            <w:shd w:val="clear" w:color="000000" w:fill="000000"/>
            <w:noWrap/>
            <w:vAlign w:val="center"/>
            <w:hideMark/>
          </w:tcPr>
          <w:p w:rsidR="002C2D5C" w:rsidRPr="002563D0" w:rsidRDefault="002C2D5C" w:rsidP="00C378B2">
            <w:pPr>
              <w:spacing w:line="240" w:lineRule="auto"/>
              <w:jc w:val="both"/>
              <w:rPr>
                <w:rFonts w:cstheme="minorHAnsi"/>
                <w:b/>
                <w:bCs/>
                <w:color w:val="FFFFFF"/>
                <w:sz w:val="18"/>
                <w:szCs w:val="18"/>
              </w:rPr>
            </w:pPr>
            <w:r w:rsidRPr="002563D0">
              <w:rPr>
                <w:rFonts w:cstheme="minorHAnsi"/>
                <w:b/>
                <w:bCs/>
                <w:color w:val="FFFFFF"/>
                <w:sz w:val="18"/>
                <w:szCs w:val="18"/>
              </w:rPr>
              <w:t>Age of HRP 25 to 34</w:t>
            </w:r>
          </w:p>
        </w:tc>
        <w:tc>
          <w:tcPr>
            <w:tcW w:w="823" w:type="pct"/>
            <w:tcBorders>
              <w:top w:val="single" w:sz="4" w:space="0" w:color="auto"/>
              <w:left w:val="nil"/>
              <w:bottom w:val="single" w:sz="4" w:space="0" w:color="auto"/>
              <w:right w:val="single" w:sz="4" w:space="0" w:color="auto"/>
            </w:tcBorders>
            <w:shd w:val="clear" w:color="000000" w:fill="000000"/>
            <w:noWrap/>
            <w:vAlign w:val="center"/>
            <w:hideMark/>
          </w:tcPr>
          <w:p w:rsidR="002C2D5C" w:rsidRPr="002563D0" w:rsidRDefault="002C2D5C" w:rsidP="00C378B2">
            <w:pPr>
              <w:spacing w:line="240" w:lineRule="auto"/>
              <w:jc w:val="both"/>
              <w:rPr>
                <w:rFonts w:cstheme="minorHAnsi"/>
                <w:b/>
                <w:bCs/>
                <w:color w:val="FFFFFF"/>
                <w:sz w:val="18"/>
                <w:szCs w:val="18"/>
              </w:rPr>
            </w:pPr>
            <w:r w:rsidRPr="002563D0">
              <w:rPr>
                <w:rFonts w:cstheme="minorHAnsi"/>
                <w:b/>
                <w:bCs/>
                <w:color w:val="FFFFFF"/>
                <w:sz w:val="18"/>
                <w:szCs w:val="18"/>
              </w:rPr>
              <w:t>Age of HRP 35 to 54</w:t>
            </w:r>
          </w:p>
        </w:tc>
        <w:tc>
          <w:tcPr>
            <w:tcW w:w="823" w:type="pct"/>
            <w:tcBorders>
              <w:top w:val="single" w:sz="4" w:space="0" w:color="auto"/>
              <w:left w:val="nil"/>
              <w:bottom w:val="single" w:sz="4" w:space="0" w:color="auto"/>
              <w:right w:val="single" w:sz="4" w:space="0" w:color="auto"/>
            </w:tcBorders>
            <w:shd w:val="clear" w:color="000000" w:fill="000000"/>
            <w:noWrap/>
            <w:vAlign w:val="center"/>
            <w:hideMark/>
          </w:tcPr>
          <w:p w:rsidR="002C2D5C" w:rsidRPr="002563D0" w:rsidRDefault="002C2D5C" w:rsidP="00C378B2">
            <w:pPr>
              <w:spacing w:line="240" w:lineRule="auto"/>
              <w:jc w:val="both"/>
              <w:rPr>
                <w:rFonts w:cstheme="minorHAnsi"/>
                <w:b/>
                <w:bCs/>
                <w:color w:val="FFFFFF"/>
                <w:sz w:val="18"/>
                <w:szCs w:val="18"/>
              </w:rPr>
            </w:pPr>
            <w:r w:rsidRPr="002563D0">
              <w:rPr>
                <w:rFonts w:cstheme="minorHAnsi"/>
                <w:b/>
                <w:bCs/>
                <w:color w:val="FFFFFF"/>
                <w:sz w:val="18"/>
                <w:szCs w:val="18"/>
              </w:rPr>
              <w:t>Age of HRP 55 to 64</w:t>
            </w:r>
          </w:p>
        </w:tc>
        <w:tc>
          <w:tcPr>
            <w:tcW w:w="823" w:type="pct"/>
            <w:tcBorders>
              <w:top w:val="single" w:sz="4" w:space="0" w:color="auto"/>
              <w:left w:val="nil"/>
              <w:bottom w:val="single" w:sz="4" w:space="0" w:color="auto"/>
              <w:right w:val="single" w:sz="4" w:space="0" w:color="auto"/>
            </w:tcBorders>
            <w:shd w:val="clear" w:color="000000" w:fill="000000"/>
            <w:noWrap/>
            <w:vAlign w:val="center"/>
            <w:hideMark/>
          </w:tcPr>
          <w:p w:rsidR="002C2D5C" w:rsidRPr="002563D0" w:rsidRDefault="002C2D5C" w:rsidP="00C378B2">
            <w:pPr>
              <w:spacing w:line="240" w:lineRule="auto"/>
              <w:jc w:val="both"/>
              <w:rPr>
                <w:rFonts w:cstheme="minorHAnsi"/>
                <w:b/>
                <w:bCs/>
                <w:color w:val="FFFFFF"/>
                <w:sz w:val="18"/>
                <w:szCs w:val="18"/>
              </w:rPr>
            </w:pPr>
            <w:r w:rsidRPr="002563D0">
              <w:rPr>
                <w:rFonts w:cstheme="minorHAnsi"/>
                <w:b/>
                <w:bCs/>
                <w:color w:val="FFFFFF"/>
                <w:sz w:val="18"/>
                <w:szCs w:val="18"/>
              </w:rPr>
              <w:t>Age of HRP 65 and over</w:t>
            </w:r>
          </w:p>
        </w:tc>
      </w:tr>
      <w:tr w:rsidR="002C2D5C" w:rsidRPr="002563D0" w:rsidTr="00C378B2">
        <w:trPr>
          <w:trHeight w:val="288"/>
        </w:trPr>
        <w:tc>
          <w:tcPr>
            <w:tcW w:w="884" w:type="pct"/>
            <w:tcBorders>
              <w:top w:val="nil"/>
              <w:left w:val="single" w:sz="4" w:space="0" w:color="auto"/>
              <w:bottom w:val="single" w:sz="4" w:space="0" w:color="auto"/>
              <w:right w:val="single" w:sz="4" w:space="0" w:color="auto"/>
            </w:tcBorders>
            <w:shd w:val="clear" w:color="auto" w:fill="auto"/>
            <w:noWrap/>
          </w:tcPr>
          <w:p w:rsidR="002C2D5C" w:rsidRPr="0026039C" w:rsidRDefault="002C2D5C" w:rsidP="00C378B2">
            <w:pPr>
              <w:spacing w:line="240" w:lineRule="auto"/>
              <w:jc w:val="both"/>
              <w:rPr>
                <w:color w:val="auto"/>
                <w:sz w:val="18"/>
                <w:szCs w:val="18"/>
              </w:rPr>
            </w:pPr>
            <w:r w:rsidRPr="0026039C">
              <w:rPr>
                <w:color w:val="auto"/>
                <w:sz w:val="18"/>
                <w:szCs w:val="18"/>
              </w:rPr>
              <w:t>2011</w:t>
            </w:r>
          </w:p>
        </w:tc>
        <w:tc>
          <w:tcPr>
            <w:tcW w:w="823" w:type="pct"/>
            <w:tcBorders>
              <w:top w:val="nil"/>
              <w:left w:val="nil"/>
              <w:bottom w:val="single" w:sz="4" w:space="0" w:color="auto"/>
              <w:right w:val="single" w:sz="4" w:space="0" w:color="auto"/>
            </w:tcBorders>
            <w:shd w:val="clear" w:color="auto" w:fill="auto"/>
            <w:noWrap/>
          </w:tcPr>
          <w:p w:rsidR="002C2D5C" w:rsidRPr="0026039C" w:rsidRDefault="0026039C" w:rsidP="00C378B2">
            <w:pPr>
              <w:spacing w:line="240" w:lineRule="auto"/>
              <w:jc w:val="both"/>
              <w:rPr>
                <w:color w:val="auto"/>
                <w:sz w:val="18"/>
                <w:szCs w:val="18"/>
              </w:rPr>
            </w:pPr>
            <w:r w:rsidRPr="0026039C">
              <w:rPr>
                <w:color w:val="auto"/>
                <w:sz w:val="18"/>
                <w:szCs w:val="18"/>
              </w:rPr>
              <w:t>840</w:t>
            </w:r>
          </w:p>
        </w:tc>
        <w:tc>
          <w:tcPr>
            <w:tcW w:w="823" w:type="pct"/>
            <w:tcBorders>
              <w:top w:val="nil"/>
              <w:left w:val="nil"/>
              <w:bottom w:val="single" w:sz="4" w:space="0" w:color="auto"/>
              <w:right w:val="single" w:sz="4" w:space="0" w:color="auto"/>
            </w:tcBorders>
            <w:shd w:val="clear" w:color="auto" w:fill="auto"/>
            <w:noWrap/>
          </w:tcPr>
          <w:p w:rsidR="002C2D5C" w:rsidRPr="0026039C" w:rsidRDefault="0026039C" w:rsidP="00C378B2">
            <w:pPr>
              <w:spacing w:line="240" w:lineRule="auto"/>
              <w:jc w:val="both"/>
              <w:rPr>
                <w:color w:val="auto"/>
                <w:sz w:val="18"/>
                <w:szCs w:val="18"/>
              </w:rPr>
            </w:pPr>
            <w:r w:rsidRPr="0026039C">
              <w:rPr>
                <w:color w:val="auto"/>
                <w:sz w:val="18"/>
                <w:szCs w:val="18"/>
              </w:rPr>
              <w:t>4,783</w:t>
            </w:r>
          </w:p>
        </w:tc>
        <w:tc>
          <w:tcPr>
            <w:tcW w:w="823" w:type="pct"/>
            <w:tcBorders>
              <w:top w:val="nil"/>
              <w:left w:val="nil"/>
              <w:bottom w:val="single" w:sz="4" w:space="0" w:color="auto"/>
              <w:right w:val="single" w:sz="4" w:space="0" w:color="auto"/>
            </w:tcBorders>
            <w:shd w:val="clear" w:color="auto" w:fill="auto"/>
            <w:noWrap/>
          </w:tcPr>
          <w:p w:rsidR="002C2D5C" w:rsidRPr="0026039C" w:rsidRDefault="0026039C" w:rsidP="00C378B2">
            <w:pPr>
              <w:spacing w:line="240" w:lineRule="auto"/>
              <w:jc w:val="both"/>
              <w:rPr>
                <w:color w:val="auto"/>
                <w:sz w:val="18"/>
                <w:szCs w:val="18"/>
              </w:rPr>
            </w:pPr>
            <w:r w:rsidRPr="0026039C">
              <w:rPr>
                <w:color w:val="auto"/>
                <w:sz w:val="18"/>
                <w:szCs w:val="18"/>
              </w:rPr>
              <w:t>19,784</w:t>
            </w:r>
          </w:p>
        </w:tc>
        <w:tc>
          <w:tcPr>
            <w:tcW w:w="823" w:type="pct"/>
            <w:tcBorders>
              <w:top w:val="nil"/>
              <w:left w:val="nil"/>
              <w:bottom w:val="single" w:sz="4" w:space="0" w:color="auto"/>
              <w:right w:val="single" w:sz="4" w:space="0" w:color="auto"/>
            </w:tcBorders>
            <w:shd w:val="clear" w:color="auto" w:fill="auto"/>
            <w:noWrap/>
          </w:tcPr>
          <w:p w:rsidR="002C2D5C" w:rsidRPr="0026039C" w:rsidRDefault="0026039C" w:rsidP="00C378B2">
            <w:pPr>
              <w:spacing w:line="240" w:lineRule="auto"/>
              <w:jc w:val="both"/>
              <w:rPr>
                <w:color w:val="auto"/>
                <w:sz w:val="18"/>
                <w:szCs w:val="18"/>
              </w:rPr>
            </w:pPr>
            <w:r w:rsidRPr="0026039C">
              <w:rPr>
                <w:color w:val="auto"/>
                <w:sz w:val="18"/>
                <w:szCs w:val="18"/>
              </w:rPr>
              <w:t>10,216</w:t>
            </w:r>
          </w:p>
        </w:tc>
        <w:tc>
          <w:tcPr>
            <w:tcW w:w="823" w:type="pct"/>
            <w:tcBorders>
              <w:top w:val="nil"/>
              <w:left w:val="nil"/>
              <w:bottom w:val="single" w:sz="4" w:space="0" w:color="auto"/>
              <w:right w:val="single" w:sz="4" w:space="0" w:color="auto"/>
            </w:tcBorders>
            <w:shd w:val="clear" w:color="auto" w:fill="auto"/>
            <w:noWrap/>
          </w:tcPr>
          <w:p w:rsidR="002C2D5C" w:rsidRPr="0026039C" w:rsidRDefault="0026039C" w:rsidP="00C378B2">
            <w:pPr>
              <w:spacing w:line="240" w:lineRule="auto"/>
              <w:jc w:val="both"/>
              <w:rPr>
                <w:color w:val="auto"/>
                <w:sz w:val="18"/>
                <w:szCs w:val="18"/>
              </w:rPr>
            </w:pPr>
            <w:r w:rsidRPr="0026039C">
              <w:rPr>
                <w:color w:val="auto"/>
                <w:sz w:val="18"/>
                <w:szCs w:val="18"/>
              </w:rPr>
              <w:t>17,713</w:t>
            </w:r>
          </w:p>
        </w:tc>
      </w:tr>
      <w:tr w:rsidR="002C2D5C" w:rsidRPr="002563D0" w:rsidTr="000F7ACB">
        <w:trPr>
          <w:trHeight w:val="288"/>
        </w:trPr>
        <w:tc>
          <w:tcPr>
            <w:tcW w:w="884" w:type="pct"/>
            <w:tcBorders>
              <w:top w:val="nil"/>
              <w:left w:val="single" w:sz="4" w:space="0" w:color="auto"/>
              <w:bottom w:val="single" w:sz="4" w:space="0" w:color="auto"/>
              <w:right w:val="single" w:sz="4" w:space="0" w:color="auto"/>
            </w:tcBorders>
            <w:shd w:val="clear" w:color="auto" w:fill="auto"/>
            <w:noWrap/>
            <w:hideMark/>
          </w:tcPr>
          <w:p w:rsidR="002C2D5C" w:rsidRPr="0026039C" w:rsidRDefault="002C2D5C" w:rsidP="00C378B2">
            <w:pPr>
              <w:spacing w:line="240" w:lineRule="auto"/>
              <w:jc w:val="both"/>
              <w:rPr>
                <w:rFonts w:cstheme="minorHAnsi"/>
                <w:color w:val="auto"/>
                <w:sz w:val="18"/>
                <w:szCs w:val="18"/>
              </w:rPr>
            </w:pPr>
            <w:r w:rsidRPr="0026039C">
              <w:rPr>
                <w:color w:val="auto"/>
                <w:sz w:val="18"/>
                <w:szCs w:val="18"/>
              </w:rPr>
              <w:t>2014</w:t>
            </w:r>
          </w:p>
        </w:tc>
        <w:tc>
          <w:tcPr>
            <w:tcW w:w="823" w:type="pct"/>
            <w:tcBorders>
              <w:top w:val="nil"/>
              <w:left w:val="nil"/>
              <w:bottom w:val="single" w:sz="4" w:space="0" w:color="auto"/>
              <w:right w:val="single" w:sz="4" w:space="0" w:color="auto"/>
            </w:tcBorders>
            <w:shd w:val="clear" w:color="auto" w:fill="auto"/>
            <w:noWrap/>
          </w:tcPr>
          <w:p w:rsidR="002C2D5C" w:rsidRPr="0026039C" w:rsidRDefault="0026039C" w:rsidP="00C378B2">
            <w:pPr>
              <w:spacing w:line="240" w:lineRule="auto"/>
              <w:jc w:val="both"/>
              <w:rPr>
                <w:rFonts w:cstheme="minorHAnsi"/>
                <w:color w:val="auto"/>
                <w:sz w:val="18"/>
                <w:szCs w:val="18"/>
              </w:rPr>
            </w:pPr>
            <w:r w:rsidRPr="0026039C">
              <w:rPr>
                <w:rFonts w:cstheme="minorHAnsi"/>
                <w:color w:val="auto"/>
                <w:sz w:val="18"/>
                <w:szCs w:val="18"/>
              </w:rPr>
              <w:t>994</w:t>
            </w:r>
          </w:p>
        </w:tc>
        <w:tc>
          <w:tcPr>
            <w:tcW w:w="823" w:type="pct"/>
            <w:tcBorders>
              <w:top w:val="nil"/>
              <w:left w:val="nil"/>
              <w:bottom w:val="single" w:sz="4" w:space="0" w:color="auto"/>
              <w:right w:val="single" w:sz="4" w:space="0" w:color="auto"/>
            </w:tcBorders>
            <w:shd w:val="clear" w:color="auto" w:fill="auto"/>
            <w:noWrap/>
          </w:tcPr>
          <w:p w:rsidR="002C2D5C" w:rsidRPr="0026039C" w:rsidRDefault="0026039C" w:rsidP="00C378B2">
            <w:pPr>
              <w:spacing w:line="240" w:lineRule="auto"/>
              <w:jc w:val="both"/>
              <w:rPr>
                <w:rFonts w:cstheme="minorHAnsi"/>
                <w:color w:val="auto"/>
                <w:sz w:val="18"/>
                <w:szCs w:val="18"/>
              </w:rPr>
            </w:pPr>
            <w:r w:rsidRPr="0026039C">
              <w:rPr>
                <w:rFonts w:cstheme="minorHAnsi"/>
                <w:color w:val="auto"/>
                <w:sz w:val="18"/>
                <w:szCs w:val="18"/>
              </w:rPr>
              <w:t>4,932</w:t>
            </w:r>
          </w:p>
        </w:tc>
        <w:tc>
          <w:tcPr>
            <w:tcW w:w="823" w:type="pct"/>
            <w:tcBorders>
              <w:top w:val="nil"/>
              <w:left w:val="nil"/>
              <w:bottom w:val="single" w:sz="4" w:space="0" w:color="auto"/>
              <w:right w:val="single" w:sz="4" w:space="0" w:color="auto"/>
            </w:tcBorders>
            <w:shd w:val="clear" w:color="auto" w:fill="auto"/>
            <w:noWrap/>
          </w:tcPr>
          <w:p w:rsidR="002C2D5C" w:rsidRPr="0026039C" w:rsidRDefault="0026039C" w:rsidP="00C378B2">
            <w:pPr>
              <w:spacing w:line="240" w:lineRule="auto"/>
              <w:jc w:val="both"/>
              <w:rPr>
                <w:rFonts w:cstheme="minorHAnsi"/>
                <w:color w:val="auto"/>
                <w:sz w:val="18"/>
                <w:szCs w:val="18"/>
              </w:rPr>
            </w:pPr>
            <w:r w:rsidRPr="0026039C">
              <w:rPr>
                <w:rFonts w:cstheme="minorHAnsi"/>
                <w:color w:val="auto"/>
                <w:sz w:val="18"/>
                <w:szCs w:val="18"/>
              </w:rPr>
              <w:t>18,923</w:t>
            </w:r>
          </w:p>
        </w:tc>
        <w:tc>
          <w:tcPr>
            <w:tcW w:w="823" w:type="pct"/>
            <w:tcBorders>
              <w:top w:val="nil"/>
              <w:left w:val="nil"/>
              <w:bottom w:val="single" w:sz="4" w:space="0" w:color="auto"/>
              <w:right w:val="single" w:sz="4" w:space="0" w:color="auto"/>
            </w:tcBorders>
            <w:shd w:val="clear" w:color="auto" w:fill="auto"/>
            <w:noWrap/>
          </w:tcPr>
          <w:p w:rsidR="002C2D5C" w:rsidRPr="0026039C" w:rsidRDefault="0026039C" w:rsidP="00C378B2">
            <w:pPr>
              <w:spacing w:line="240" w:lineRule="auto"/>
              <w:jc w:val="both"/>
              <w:rPr>
                <w:rFonts w:cstheme="minorHAnsi"/>
                <w:color w:val="auto"/>
                <w:sz w:val="18"/>
                <w:szCs w:val="18"/>
              </w:rPr>
            </w:pPr>
            <w:r w:rsidRPr="0026039C">
              <w:rPr>
                <w:rFonts w:cstheme="minorHAnsi"/>
                <w:color w:val="auto"/>
                <w:sz w:val="18"/>
                <w:szCs w:val="18"/>
              </w:rPr>
              <w:t>9,313</w:t>
            </w:r>
          </w:p>
        </w:tc>
        <w:tc>
          <w:tcPr>
            <w:tcW w:w="823" w:type="pct"/>
            <w:tcBorders>
              <w:top w:val="nil"/>
              <w:left w:val="nil"/>
              <w:bottom w:val="single" w:sz="4" w:space="0" w:color="auto"/>
              <w:right w:val="single" w:sz="4" w:space="0" w:color="auto"/>
            </w:tcBorders>
            <w:shd w:val="clear" w:color="auto" w:fill="auto"/>
            <w:noWrap/>
          </w:tcPr>
          <w:p w:rsidR="002C2D5C" w:rsidRPr="0026039C" w:rsidRDefault="0026039C" w:rsidP="00C378B2">
            <w:pPr>
              <w:spacing w:line="240" w:lineRule="auto"/>
              <w:jc w:val="both"/>
              <w:rPr>
                <w:rFonts w:cstheme="minorHAnsi"/>
                <w:color w:val="auto"/>
                <w:sz w:val="18"/>
                <w:szCs w:val="18"/>
              </w:rPr>
            </w:pPr>
            <w:r w:rsidRPr="0026039C">
              <w:rPr>
                <w:rFonts w:cstheme="minorHAnsi"/>
                <w:color w:val="auto"/>
                <w:sz w:val="18"/>
                <w:szCs w:val="18"/>
              </w:rPr>
              <w:t>20,225</w:t>
            </w:r>
          </w:p>
        </w:tc>
      </w:tr>
      <w:tr w:rsidR="002C2D5C" w:rsidRPr="002563D0" w:rsidTr="00C378B2">
        <w:trPr>
          <w:trHeight w:val="288"/>
        </w:trPr>
        <w:tc>
          <w:tcPr>
            <w:tcW w:w="884" w:type="pct"/>
            <w:tcBorders>
              <w:top w:val="nil"/>
              <w:left w:val="single" w:sz="4" w:space="0" w:color="auto"/>
              <w:bottom w:val="single" w:sz="4" w:space="0" w:color="auto"/>
              <w:right w:val="single" w:sz="4" w:space="0" w:color="auto"/>
            </w:tcBorders>
            <w:shd w:val="clear" w:color="auto" w:fill="auto"/>
            <w:noWrap/>
          </w:tcPr>
          <w:p w:rsidR="002C2D5C" w:rsidRPr="0026039C" w:rsidRDefault="00117893" w:rsidP="00C378B2">
            <w:pPr>
              <w:spacing w:line="240" w:lineRule="auto"/>
              <w:jc w:val="both"/>
              <w:rPr>
                <w:rFonts w:cstheme="minorHAnsi"/>
                <w:color w:val="auto"/>
                <w:sz w:val="18"/>
                <w:szCs w:val="18"/>
              </w:rPr>
            </w:pPr>
            <w:r>
              <w:rPr>
                <w:color w:val="auto"/>
                <w:sz w:val="18"/>
                <w:szCs w:val="18"/>
              </w:rPr>
              <w:t>2036</w:t>
            </w:r>
          </w:p>
        </w:tc>
        <w:tc>
          <w:tcPr>
            <w:tcW w:w="823" w:type="pct"/>
            <w:tcBorders>
              <w:top w:val="nil"/>
              <w:left w:val="nil"/>
              <w:bottom w:val="single" w:sz="4" w:space="0" w:color="auto"/>
              <w:right w:val="single" w:sz="4" w:space="0" w:color="auto"/>
            </w:tcBorders>
            <w:shd w:val="clear" w:color="auto" w:fill="auto"/>
            <w:noWrap/>
          </w:tcPr>
          <w:p w:rsidR="002C2D5C" w:rsidRPr="0026039C" w:rsidRDefault="0026039C" w:rsidP="00C378B2">
            <w:pPr>
              <w:spacing w:line="240" w:lineRule="auto"/>
              <w:jc w:val="both"/>
              <w:rPr>
                <w:rFonts w:cstheme="minorHAnsi"/>
                <w:color w:val="auto"/>
                <w:sz w:val="18"/>
                <w:szCs w:val="18"/>
              </w:rPr>
            </w:pPr>
            <w:r w:rsidRPr="0026039C">
              <w:rPr>
                <w:rFonts w:cstheme="minorHAnsi"/>
                <w:color w:val="auto"/>
                <w:sz w:val="18"/>
                <w:szCs w:val="18"/>
              </w:rPr>
              <w:t>1,029</w:t>
            </w:r>
          </w:p>
        </w:tc>
        <w:tc>
          <w:tcPr>
            <w:tcW w:w="823" w:type="pct"/>
            <w:tcBorders>
              <w:top w:val="nil"/>
              <w:left w:val="nil"/>
              <w:bottom w:val="single" w:sz="4" w:space="0" w:color="auto"/>
              <w:right w:val="single" w:sz="4" w:space="0" w:color="auto"/>
            </w:tcBorders>
            <w:shd w:val="clear" w:color="auto" w:fill="auto"/>
            <w:noWrap/>
          </w:tcPr>
          <w:p w:rsidR="002C2D5C" w:rsidRPr="0026039C" w:rsidRDefault="0026039C" w:rsidP="00C378B2">
            <w:pPr>
              <w:spacing w:line="240" w:lineRule="auto"/>
              <w:jc w:val="both"/>
              <w:rPr>
                <w:rFonts w:cstheme="minorHAnsi"/>
                <w:color w:val="auto"/>
                <w:sz w:val="18"/>
                <w:szCs w:val="18"/>
              </w:rPr>
            </w:pPr>
            <w:r w:rsidRPr="0026039C">
              <w:rPr>
                <w:rFonts w:cstheme="minorHAnsi"/>
                <w:color w:val="auto"/>
                <w:sz w:val="18"/>
                <w:szCs w:val="18"/>
              </w:rPr>
              <w:t>4,656</w:t>
            </w:r>
          </w:p>
        </w:tc>
        <w:tc>
          <w:tcPr>
            <w:tcW w:w="823" w:type="pct"/>
            <w:tcBorders>
              <w:top w:val="nil"/>
              <w:left w:val="nil"/>
              <w:bottom w:val="single" w:sz="4" w:space="0" w:color="auto"/>
              <w:right w:val="single" w:sz="4" w:space="0" w:color="auto"/>
            </w:tcBorders>
            <w:shd w:val="clear" w:color="auto" w:fill="auto"/>
            <w:noWrap/>
          </w:tcPr>
          <w:p w:rsidR="002C2D5C" w:rsidRPr="0026039C" w:rsidRDefault="0026039C" w:rsidP="00C378B2">
            <w:pPr>
              <w:spacing w:line="240" w:lineRule="auto"/>
              <w:jc w:val="both"/>
              <w:rPr>
                <w:rFonts w:cstheme="minorHAnsi"/>
                <w:color w:val="auto"/>
                <w:sz w:val="18"/>
                <w:szCs w:val="18"/>
              </w:rPr>
            </w:pPr>
            <w:r w:rsidRPr="0026039C">
              <w:rPr>
                <w:rFonts w:cstheme="minorHAnsi"/>
                <w:color w:val="auto"/>
                <w:sz w:val="18"/>
                <w:szCs w:val="18"/>
              </w:rPr>
              <w:t>18,416</w:t>
            </w:r>
          </w:p>
        </w:tc>
        <w:tc>
          <w:tcPr>
            <w:tcW w:w="823" w:type="pct"/>
            <w:tcBorders>
              <w:top w:val="nil"/>
              <w:left w:val="nil"/>
              <w:bottom w:val="single" w:sz="4" w:space="0" w:color="auto"/>
              <w:right w:val="single" w:sz="4" w:space="0" w:color="auto"/>
            </w:tcBorders>
            <w:shd w:val="clear" w:color="auto" w:fill="auto"/>
            <w:noWrap/>
          </w:tcPr>
          <w:p w:rsidR="002C2D5C" w:rsidRPr="0026039C" w:rsidRDefault="0026039C" w:rsidP="00C378B2">
            <w:pPr>
              <w:spacing w:line="240" w:lineRule="auto"/>
              <w:jc w:val="both"/>
              <w:rPr>
                <w:rFonts w:cstheme="minorHAnsi"/>
                <w:color w:val="auto"/>
                <w:sz w:val="18"/>
                <w:szCs w:val="18"/>
              </w:rPr>
            </w:pPr>
            <w:r w:rsidRPr="0026039C">
              <w:rPr>
                <w:rFonts w:cstheme="minorHAnsi"/>
                <w:color w:val="auto"/>
                <w:sz w:val="18"/>
                <w:szCs w:val="18"/>
              </w:rPr>
              <w:t>9,324</w:t>
            </w:r>
          </w:p>
        </w:tc>
        <w:tc>
          <w:tcPr>
            <w:tcW w:w="823" w:type="pct"/>
            <w:tcBorders>
              <w:top w:val="nil"/>
              <w:left w:val="nil"/>
              <w:bottom w:val="single" w:sz="4" w:space="0" w:color="auto"/>
              <w:right w:val="single" w:sz="4" w:space="0" w:color="auto"/>
            </w:tcBorders>
            <w:shd w:val="clear" w:color="auto" w:fill="auto"/>
            <w:noWrap/>
          </w:tcPr>
          <w:p w:rsidR="002C2D5C" w:rsidRPr="0026039C" w:rsidRDefault="0026039C" w:rsidP="00C378B2">
            <w:pPr>
              <w:spacing w:line="240" w:lineRule="auto"/>
              <w:jc w:val="both"/>
              <w:rPr>
                <w:rFonts w:cstheme="minorHAnsi"/>
                <w:color w:val="auto"/>
                <w:sz w:val="18"/>
                <w:szCs w:val="18"/>
              </w:rPr>
            </w:pPr>
            <w:r w:rsidRPr="0026039C">
              <w:rPr>
                <w:rFonts w:cstheme="minorHAnsi"/>
                <w:color w:val="auto"/>
                <w:sz w:val="18"/>
                <w:szCs w:val="18"/>
              </w:rPr>
              <w:t>27,189</w:t>
            </w:r>
          </w:p>
        </w:tc>
      </w:tr>
      <w:tr w:rsidR="002C2D5C" w:rsidRPr="00374C95" w:rsidTr="00C378B2">
        <w:trPr>
          <w:trHeight w:val="288"/>
        </w:trPr>
        <w:tc>
          <w:tcPr>
            <w:tcW w:w="884" w:type="pct"/>
            <w:tcBorders>
              <w:top w:val="nil"/>
              <w:left w:val="single" w:sz="4" w:space="0" w:color="auto"/>
              <w:bottom w:val="single" w:sz="4" w:space="0" w:color="auto"/>
              <w:right w:val="single" w:sz="4" w:space="0" w:color="auto"/>
            </w:tcBorders>
            <w:shd w:val="clear" w:color="auto" w:fill="auto"/>
            <w:noWrap/>
          </w:tcPr>
          <w:p w:rsidR="002C2D5C" w:rsidRPr="0026039C" w:rsidRDefault="002C2D5C" w:rsidP="00C378B2">
            <w:pPr>
              <w:spacing w:line="240" w:lineRule="auto"/>
              <w:jc w:val="both"/>
              <w:rPr>
                <w:rFonts w:cstheme="minorHAnsi"/>
                <w:color w:val="auto"/>
                <w:sz w:val="18"/>
                <w:szCs w:val="18"/>
              </w:rPr>
            </w:pPr>
            <w:r w:rsidRPr="0026039C">
              <w:rPr>
                <w:color w:val="auto"/>
                <w:sz w:val="18"/>
                <w:szCs w:val="18"/>
              </w:rPr>
              <w:t>2039</w:t>
            </w:r>
          </w:p>
        </w:tc>
        <w:tc>
          <w:tcPr>
            <w:tcW w:w="823" w:type="pct"/>
            <w:tcBorders>
              <w:top w:val="nil"/>
              <w:left w:val="nil"/>
              <w:bottom w:val="single" w:sz="4" w:space="0" w:color="auto"/>
              <w:right w:val="single" w:sz="4" w:space="0" w:color="auto"/>
            </w:tcBorders>
            <w:shd w:val="clear" w:color="auto" w:fill="auto"/>
            <w:noWrap/>
          </w:tcPr>
          <w:p w:rsidR="002C2D5C" w:rsidRPr="0026039C" w:rsidRDefault="0026039C" w:rsidP="00C378B2">
            <w:pPr>
              <w:spacing w:line="240" w:lineRule="auto"/>
              <w:jc w:val="both"/>
              <w:rPr>
                <w:rFonts w:cstheme="minorHAnsi"/>
                <w:color w:val="auto"/>
                <w:sz w:val="18"/>
                <w:szCs w:val="18"/>
              </w:rPr>
            </w:pPr>
            <w:r w:rsidRPr="0026039C">
              <w:rPr>
                <w:rFonts w:cstheme="minorHAnsi"/>
                <w:color w:val="auto"/>
                <w:sz w:val="18"/>
                <w:szCs w:val="18"/>
              </w:rPr>
              <w:t>1,046</w:t>
            </w:r>
          </w:p>
        </w:tc>
        <w:tc>
          <w:tcPr>
            <w:tcW w:w="823" w:type="pct"/>
            <w:tcBorders>
              <w:top w:val="nil"/>
              <w:left w:val="nil"/>
              <w:bottom w:val="single" w:sz="4" w:space="0" w:color="auto"/>
              <w:right w:val="single" w:sz="4" w:space="0" w:color="auto"/>
            </w:tcBorders>
            <w:shd w:val="clear" w:color="auto" w:fill="auto"/>
            <w:noWrap/>
          </w:tcPr>
          <w:p w:rsidR="002C2D5C" w:rsidRPr="0026039C" w:rsidRDefault="0026039C" w:rsidP="00C378B2">
            <w:pPr>
              <w:spacing w:line="240" w:lineRule="auto"/>
              <w:jc w:val="both"/>
              <w:rPr>
                <w:rFonts w:cstheme="minorHAnsi"/>
                <w:color w:val="auto"/>
                <w:sz w:val="18"/>
                <w:szCs w:val="18"/>
              </w:rPr>
            </w:pPr>
            <w:r w:rsidRPr="0026039C">
              <w:rPr>
                <w:rFonts w:cstheme="minorHAnsi"/>
                <w:color w:val="auto"/>
                <w:sz w:val="18"/>
                <w:szCs w:val="18"/>
              </w:rPr>
              <w:t>4,526</w:t>
            </w:r>
          </w:p>
        </w:tc>
        <w:tc>
          <w:tcPr>
            <w:tcW w:w="823" w:type="pct"/>
            <w:tcBorders>
              <w:top w:val="nil"/>
              <w:left w:val="nil"/>
              <w:bottom w:val="single" w:sz="4" w:space="0" w:color="auto"/>
              <w:right w:val="single" w:sz="4" w:space="0" w:color="auto"/>
            </w:tcBorders>
            <w:shd w:val="clear" w:color="auto" w:fill="auto"/>
            <w:noWrap/>
          </w:tcPr>
          <w:p w:rsidR="002C2D5C" w:rsidRPr="0026039C" w:rsidRDefault="0026039C" w:rsidP="00C378B2">
            <w:pPr>
              <w:spacing w:line="240" w:lineRule="auto"/>
              <w:jc w:val="both"/>
              <w:rPr>
                <w:rFonts w:cstheme="minorHAnsi"/>
                <w:color w:val="auto"/>
                <w:sz w:val="18"/>
                <w:szCs w:val="18"/>
              </w:rPr>
            </w:pPr>
            <w:r w:rsidRPr="0026039C">
              <w:rPr>
                <w:rFonts w:cstheme="minorHAnsi"/>
                <w:color w:val="auto"/>
                <w:sz w:val="18"/>
                <w:szCs w:val="18"/>
              </w:rPr>
              <w:t>18,178</w:t>
            </w:r>
          </w:p>
        </w:tc>
        <w:tc>
          <w:tcPr>
            <w:tcW w:w="823" w:type="pct"/>
            <w:tcBorders>
              <w:top w:val="nil"/>
              <w:left w:val="nil"/>
              <w:bottom w:val="single" w:sz="4" w:space="0" w:color="auto"/>
              <w:right w:val="single" w:sz="4" w:space="0" w:color="auto"/>
            </w:tcBorders>
            <w:shd w:val="clear" w:color="auto" w:fill="auto"/>
            <w:noWrap/>
          </w:tcPr>
          <w:p w:rsidR="002C2D5C" w:rsidRPr="0026039C" w:rsidRDefault="0026039C" w:rsidP="00C378B2">
            <w:pPr>
              <w:spacing w:line="240" w:lineRule="auto"/>
              <w:jc w:val="both"/>
              <w:rPr>
                <w:rFonts w:cstheme="minorHAnsi"/>
                <w:color w:val="auto"/>
                <w:sz w:val="18"/>
                <w:szCs w:val="18"/>
              </w:rPr>
            </w:pPr>
            <w:r w:rsidRPr="0026039C">
              <w:rPr>
                <w:rFonts w:cstheme="minorHAnsi"/>
                <w:color w:val="auto"/>
                <w:sz w:val="18"/>
                <w:szCs w:val="18"/>
              </w:rPr>
              <w:t>9,329</w:t>
            </w:r>
          </w:p>
        </w:tc>
        <w:tc>
          <w:tcPr>
            <w:tcW w:w="823" w:type="pct"/>
            <w:tcBorders>
              <w:top w:val="nil"/>
              <w:left w:val="nil"/>
              <w:bottom w:val="single" w:sz="4" w:space="0" w:color="auto"/>
              <w:right w:val="single" w:sz="4" w:space="0" w:color="auto"/>
            </w:tcBorders>
            <w:shd w:val="clear" w:color="auto" w:fill="auto"/>
            <w:noWrap/>
          </w:tcPr>
          <w:p w:rsidR="002C2D5C" w:rsidRPr="0026039C" w:rsidRDefault="0026039C" w:rsidP="00C378B2">
            <w:pPr>
              <w:spacing w:line="240" w:lineRule="auto"/>
              <w:jc w:val="both"/>
              <w:rPr>
                <w:rFonts w:cstheme="minorHAnsi"/>
                <w:color w:val="auto"/>
                <w:sz w:val="18"/>
                <w:szCs w:val="18"/>
              </w:rPr>
            </w:pPr>
            <w:r w:rsidRPr="0026039C">
              <w:rPr>
                <w:rFonts w:cstheme="minorHAnsi"/>
                <w:color w:val="auto"/>
                <w:sz w:val="18"/>
                <w:szCs w:val="18"/>
              </w:rPr>
              <w:t>30,467</w:t>
            </w:r>
          </w:p>
        </w:tc>
      </w:tr>
    </w:tbl>
    <w:p w:rsidR="002C2D5C" w:rsidRPr="00374C95" w:rsidRDefault="002C2D5C" w:rsidP="002C2D5C">
      <w:pPr>
        <w:pStyle w:val="Source"/>
        <w:jc w:val="both"/>
        <w:rPr>
          <w:sz w:val="18"/>
          <w:szCs w:val="18"/>
          <w:lang w:val="en-GB"/>
        </w:rPr>
      </w:pPr>
      <w:r w:rsidRPr="00374C95">
        <w:rPr>
          <w:sz w:val="18"/>
          <w:szCs w:val="18"/>
          <w:lang w:val="en-GB"/>
        </w:rPr>
        <w:t>Source(s): MHCLG 2014-based household projections, ONS 2011, AECOM Calculations</w:t>
      </w:r>
    </w:p>
    <w:p w:rsidR="002C2D5C" w:rsidRPr="006958B1" w:rsidRDefault="00430AD8" w:rsidP="002C2D5C">
      <w:pPr>
        <w:pStyle w:val="ListNumber"/>
        <w:spacing w:before="0"/>
        <w:jc w:val="both"/>
        <w:rPr>
          <w:sz w:val="18"/>
          <w:szCs w:val="18"/>
          <w:lang w:val="en-GB"/>
        </w:rPr>
      </w:pPr>
      <w:r>
        <w:rPr>
          <w:sz w:val="18"/>
          <w:szCs w:val="18"/>
          <w:lang w:val="en-GB"/>
        </w:rPr>
        <w:t>I</w:t>
      </w:r>
      <w:r w:rsidR="002C2D5C" w:rsidRPr="006958B1">
        <w:rPr>
          <w:sz w:val="18"/>
          <w:szCs w:val="18"/>
          <w:lang w:val="en-GB"/>
        </w:rPr>
        <w:t xml:space="preserve">t is </w:t>
      </w:r>
      <w:r w:rsidR="006958B1">
        <w:rPr>
          <w:sz w:val="18"/>
          <w:szCs w:val="18"/>
          <w:lang w:val="en-GB"/>
        </w:rPr>
        <w:t xml:space="preserve">then </w:t>
      </w:r>
      <w:r w:rsidR="002C2D5C" w:rsidRPr="006958B1">
        <w:rPr>
          <w:sz w:val="18"/>
          <w:szCs w:val="18"/>
          <w:lang w:val="en-GB"/>
        </w:rPr>
        <w:t xml:space="preserve">necessary to </w:t>
      </w:r>
      <w:r w:rsidR="006958B1">
        <w:rPr>
          <w:sz w:val="18"/>
          <w:szCs w:val="18"/>
          <w:lang w:val="en-GB"/>
        </w:rPr>
        <w:t xml:space="preserve">extrapolate from this </w:t>
      </w:r>
      <w:r w:rsidR="00F366EA">
        <w:rPr>
          <w:sz w:val="18"/>
          <w:szCs w:val="18"/>
          <w:lang w:val="en-GB"/>
        </w:rPr>
        <w:t>district</w:t>
      </w:r>
      <w:r w:rsidR="006958B1">
        <w:rPr>
          <w:sz w:val="18"/>
          <w:szCs w:val="18"/>
          <w:lang w:val="en-GB"/>
        </w:rPr>
        <w:t xml:space="preserve">-level data </w:t>
      </w:r>
      <w:r w:rsidR="002C2D5C" w:rsidRPr="006958B1">
        <w:rPr>
          <w:sz w:val="18"/>
          <w:szCs w:val="18"/>
          <w:lang w:val="en-GB"/>
        </w:rPr>
        <w:t xml:space="preserve">an estimate of the </w:t>
      </w:r>
      <w:r w:rsidR="006958B1">
        <w:rPr>
          <w:sz w:val="18"/>
          <w:szCs w:val="18"/>
          <w:lang w:val="en-GB"/>
        </w:rPr>
        <w:t>corresponding change in</w:t>
      </w:r>
      <w:r w:rsidR="002C2D5C" w:rsidRPr="006958B1">
        <w:rPr>
          <w:sz w:val="18"/>
          <w:szCs w:val="18"/>
          <w:lang w:val="en-GB"/>
        </w:rPr>
        <w:t xml:space="preserve"> the age structure of the population in </w:t>
      </w:r>
      <w:r w:rsidR="00CB66F8">
        <w:rPr>
          <w:sz w:val="18"/>
          <w:szCs w:val="18"/>
          <w:lang w:val="en-GB"/>
        </w:rPr>
        <w:t>Reedham</w:t>
      </w:r>
      <w:r w:rsidR="002C2D5C" w:rsidRPr="006958B1">
        <w:rPr>
          <w:sz w:val="18"/>
          <w:szCs w:val="18"/>
          <w:lang w:val="en-GB"/>
        </w:rPr>
        <w:t xml:space="preserve">. To do so, the percentage increase </w:t>
      </w:r>
      <w:r w:rsidR="006958B1">
        <w:rPr>
          <w:sz w:val="18"/>
          <w:szCs w:val="18"/>
          <w:lang w:val="en-GB"/>
        </w:rPr>
        <w:t>expected for each group across</w:t>
      </w:r>
      <w:r w:rsidR="002C2D5C" w:rsidRPr="006958B1">
        <w:rPr>
          <w:sz w:val="18"/>
          <w:szCs w:val="18"/>
          <w:lang w:val="en-GB"/>
        </w:rPr>
        <w:t xml:space="preserve"> </w:t>
      </w:r>
      <w:r w:rsidR="00CB66F8">
        <w:rPr>
          <w:sz w:val="18"/>
          <w:szCs w:val="18"/>
          <w:lang w:val="en-GB"/>
        </w:rPr>
        <w:t>Broadland</w:t>
      </w:r>
      <w:r w:rsidR="002C2D5C" w:rsidRPr="006958B1">
        <w:rPr>
          <w:sz w:val="18"/>
          <w:szCs w:val="18"/>
          <w:lang w:val="en-GB"/>
        </w:rPr>
        <w:t>, der</w:t>
      </w:r>
      <w:r w:rsidR="006958B1">
        <w:rPr>
          <w:sz w:val="18"/>
          <w:szCs w:val="18"/>
          <w:lang w:val="en-GB"/>
        </w:rPr>
        <w:t>ived from the data presented above was mapped to</w:t>
      </w:r>
      <w:r w:rsidR="002C2D5C" w:rsidRPr="006958B1">
        <w:rPr>
          <w:sz w:val="18"/>
          <w:szCs w:val="18"/>
          <w:lang w:val="en-GB"/>
        </w:rPr>
        <w:t xml:space="preserve"> the population of </w:t>
      </w:r>
      <w:r w:rsidR="00CB66F8">
        <w:rPr>
          <w:sz w:val="18"/>
          <w:szCs w:val="18"/>
          <w:lang w:val="en-GB"/>
        </w:rPr>
        <w:t>Reedham</w:t>
      </w:r>
      <w:r w:rsidR="006958B1">
        <w:rPr>
          <w:sz w:val="18"/>
          <w:szCs w:val="18"/>
          <w:lang w:val="en-GB"/>
        </w:rPr>
        <w:t>. The results of this</w:t>
      </w:r>
      <w:r w:rsidR="002C2D5C" w:rsidRPr="006958B1">
        <w:rPr>
          <w:sz w:val="18"/>
          <w:szCs w:val="18"/>
          <w:lang w:val="en-GB"/>
        </w:rPr>
        <w:t xml:space="preserve"> calculation are detailed in </w:t>
      </w:r>
      <w:fldSimple w:instr=" REF _Ref2610232 \h  \* MERGEFORMAT ">
        <w:r w:rsidR="00E14AFB" w:rsidRPr="002D4F56">
          <w:rPr>
            <w:sz w:val="18"/>
            <w:szCs w:val="18"/>
          </w:rPr>
          <w:t xml:space="preserve">Table </w:t>
        </w:r>
        <w:r w:rsidR="00E14AFB">
          <w:rPr>
            <w:noProof/>
            <w:sz w:val="18"/>
            <w:szCs w:val="18"/>
          </w:rPr>
          <w:t>6</w:t>
        </w:r>
        <w:r w:rsidR="00E14AFB" w:rsidRPr="002D4F56">
          <w:rPr>
            <w:noProof/>
            <w:sz w:val="18"/>
            <w:szCs w:val="18"/>
          </w:rPr>
          <w:noBreakHyphen/>
        </w:r>
        <w:r w:rsidR="00E14AFB">
          <w:rPr>
            <w:noProof/>
            <w:sz w:val="18"/>
            <w:szCs w:val="18"/>
          </w:rPr>
          <w:t>10</w:t>
        </w:r>
      </w:fldSimple>
      <w:r w:rsidR="002C2D5C" w:rsidRPr="006958B1">
        <w:rPr>
          <w:sz w:val="18"/>
          <w:szCs w:val="18"/>
          <w:lang w:val="en-GB"/>
        </w:rPr>
        <w:t xml:space="preserve"> below:</w:t>
      </w:r>
    </w:p>
    <w:p w:rsidR="002C2D5C" w:rsidRPr="002D4F56" w:rsidRDefault="002C2D5C" w:rsidP="002C2D5C">
      <w:pPr>
        <w:pStyle w:val="Caption"/>
        <w:jc w:val="both"/>
        <w:rPr>
          <w:sz w:val="18"/>
          <w:szCs w:val="18"/>
        </w:rPr>
      </w:pPr>
      <w:bookmarkStart w:id="130" w:name="_Ref2610232"/>
      <w:r w:rsidRPr="002D4F56">
        <w:rPr>
          <w:sz w:val="18"/>
          <w:szCs w:val="18"/>
        </w:rPr>
        <w:t xml:space="preserve">Table </w:t>
      </w:r>
      <w:r w:rsidR="001A69AC" w:rsidRPr="002D4F56">
        <w:rPr>
          <w:noProof/>
          <w:sz w:val="18"/>
          <w:szCs w:val="18"/>
        </w:rPr>
        <w:fldChar w:fldCharType="begin"/>
      </w:r>
      <w:r w:rsidRPr="002D4F56">
        <w:rPr>
          <w:noProof/>
          <w:sz w:val="18"/>
          <w:szCs w:val="18"/>
        </w:rPr>
        <w:instrText xml:space="preserve"> STYLEREF 1 \s </w:instrText>
      </w:r>
      <w:r w:rsidR="001A69AC" w:rsidRPr="002D4F56">
        <w:rPr>
          <w:noProof/>
          <w:sz w:val="18"/>
          <w:szCs w:val="18"/>
        </w:rPr>
        <w:fldChar w:fldCharType="separate"/>
      </w:r>
      <w:r w:rsidR="00E14AFB">
        <w:rPr>
          <w:noProof/>
          <w:sz w:val="18"/>
          <w:szCs w:val="18"/>
        </w:rPr>
        <w:t>6</w:t>
      </w:r>
      <w:r w:rsidR="001A69AC" w:rsidRPr="002D4F56">
        <w:rPr>
          <w:noProof/>
          <w:sz w:val="18"/>
          <w:szCs w:val="18"/>
        </w:rPr>
        <w:fldChar w:fldCharType="end"/>
      </w:r>
      <w:r w:rsidRPr="002D4F56">
        <w:rPr>
          <w:sz w:val="18"/>
          <w:szCs w:val="18"/>
        </w:rPr>
        <w:noBreakHyphen/>
      </w:r>
      <w:r w:rsidR="001A69AC" w:rsidRPr="002D4F56">
        <w:rPr>
          <w:noProof/>
          <w:sz w:val="18"/>
          <w:szCs w:val="18"/>
        </w:rPr>
        <w:fldChar w:fldCharType="begin"/>
      </w:r>
      <w:r w:rsidRPr="002D4F56">
        <w:rPr>
          <w:noProof/>
          <w:sz w:val="18"/>
          <w:szCs w:val="18"/>
        </w:rPr>
        <w:instrText xml:space="preserve"> SEQ Table \* ARABIC \s 1 </w:instrText>
      </w:r>
      <w:r w:rsidR="001A69AC" w:rsidRPr="002D4F56">
        <w:rPr>
          <w:noProof/>
          <w:sz w:val="18"/>
          <w:szCs w:val="18"/>
        </w:rPr>
        <w:fldChar w:fldCharType="separate"/>
      </w:r>
      <w:r w:rsidR="00E14AFB">
        <w:rPr>
          <w:noProof/>
          <w:sz w:val="18"/>
          <w:szCs w:val="18"/>
        </w:rPr>
        <w:t>10</w:t>
      </w:r>
      <w:r w:rsidR="001A69AC" w:rsidRPr="002D4F56">
        <w:rPr>
          <w:noProof/>
          <w:sz w:val="18"/>
          <w:szCs w:val="18"/>
        </w:rPr>
        <w:fldChar w:fldCharType="end"/>
      </w:r>
      <w:bookmarkEnd w:id="130"/>
      <w:r w:rsidRPr="002D4F56">
        <w:rPr>
          <w:sz w:val="18"/>
          <w:szCs w:val="18"/>
        </w:rPr>
        <w:t>: Projected distribution of h</w:t>
      </w:r>
      <w:r w:rsidR="00374C95" w:rsidRPr="002D4F56">
        <w:rPr>
          <w:sz w:val="18"/>
          <w:szCs w:val="18"/>
        </w:rPr>
        <w:t xml:space="preserve">ouseholds by age of HRP, </w:t>
      </w:r>
      <w:r w:rsidR="008F15A9">
        <w:rPr>
          <w:sz w:val="18"/>
          <w:szCs w:val="18"/>
        </w:rPr>
        <w:t>Reedham</w:t>
      </w:r>
    </w:p>
    <w:tbl>
      <w:tblPr>
        <w:tblW w:w="4791"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5"/>
        <w:gridCol w:w="1585"/>
        <w:gridCol w:w="1585"/>
        <w:gridCol w:w="1585"/>
        <w:gridCol w:w="1585"/>
        <w:gridCol w:w="1585"/>
      </w:tblGrid>
      <w:tr w:rsidR="002C2D5C" w:rsidRPr="00374C95" w:rsidTr="003379D3">
        <w:trPr>
          <w:trHeight w:val="288"/>
        </w:trPr>
        <w:tc>
          <w:tcPr>
            <w:tcW w:w="885" w:type="pct"/>
            <w:shd w:val="clear" w:color="auto" w:fill="000000" w:themeFill="text1"/>
            <w:noWrap/>
            <w:vAlign w:val="center"/>
            <w:hideMark/>
          </w:tcPr>
          <w:p w:rsidR="002C2D5C" w:rsidRPr="00374C95" w:rsidRDefault="002C2D5C" w:rsidP="00C378B2">
            <w:pPr>
              <w:spacing w:line="240" w:lineRule="auto"/>
              <w:jc w:val="both"/>
              <w:rPr>
                <w:rFonts w:cstheme="minorHAnsi"/>
                <w:b/>
                <w:sz w:val="18"/>
                <w:szCs w:val="18"/>
              </w:rPr>
            </w:pPr>
            <w:r w:rsidRPr="00374C95">
              <w:rPr>
                <w:rFonts w:cstheme="minorHAnsi"/>
                <w:sz w:val="18"/>
                <w:szCs w:val="18"/>
              </w:rPr>
              <w:t> </w:t>
            </w:r>
            <w:r w:rsidRPr="00374C95">
              <w:rPr>
                <w:rFonts w:cstheme="minorHAnsi"/>
                <w:b/>
                <w:color w:val="FFFFFF" w:themeColor="background1"/>
                <w:sz w:val="18"/>
                <w:szCs w:val="18"/>
              </w:rPr>
              <w:t>Year</w:t>
            </w:r>
          </w:p>
        </w:tc>
        <w:tc>
          <w:tcPr>
            <w:tcW w:w="823" w:type="pct"/>
            <w:shd w:val="clear" w:color="000000" w:fill="000000"/>
            <w:noWrap/>
            <w:vAlign w:val="center"/>
            <w:hideMark/>
          </w:tcPr>
          <w:p w:rsidR="002C2D5C" w:rsidRPr="00374C95" w:rsidRDefault="002C2D5C" w:rsidP="00C378B2">
            <w:pPr>
              <w:spacing w:line="240" w:lineRule="auto"/>
              <w:jc w:val="both"/>
              <w:rPr>
                <w:rFonts w:cstheme="minorHAnsi"/>
                <w:b/>
                <w:bCs/>
                <w:color w:val="FFFFFF"/>
                <w:sz w:val="18"/>
                <w:szCs w:val="18"/>
              </w:rPr>
            </w:pPr>
            <w:r w:rsidRPr="00374C95">
              <w:rPr>
                <w:rFonts w:cstheme="minorHAnsi"/>
                <w:b/>
                <w:bCs/>
                <w:color w:val="FFFFFF"/>
                <w:sz w:val="18"/>
                <w:szCs w:val="18"/>
              </w:rPr>
              <w:t>Age of HRP 24 and under</w:t>
            </w:r>
          </w:p>
        </w:tc>
        <w:tc>
          <w:tcPr>
            <w:tcW w:w="823" w:type="pct"/>
            <w:shd w:val="clear" w:color="000000" w:fill="000000"/>
            <w:noWrap/>
            <w:vAlign w:val="center"/>
            <w:hideMark/>
          </w:tcPr>
          <w:p w:rsidR="002C2D5C" w:rsidRPr="00374C95" w:rsidRDefault="002C2D5C" w:rsidP="00C378B2">
            <w:pPr>
              <w:spacing w:line="240" w:lineRule="auto"/>
              <w:jc w:val="both"/>
              <w:rPr>
                <w:rFonts w:cstheme="minorHAnsi"/>
                <w:b/>
                <w:bCs/>
                <w:color w:val="FFFFFF"/>
                <w:sz w:val="18"/>
                <w:szCs w:val="18"/>
              </w:rPr>
            </w:pPr>
            <w:r w:rsidRPr="00374C95">
              <w:rPr>
                <w:rFonts w:cstheme="minorHAnsi"/>
                <w:b/>
                <w:bCs/>
                <w:color w:val="FFFFFF"/>
                <w:sz w:val="18"/>
                <w:szCs w:val="18"/>
              </w:rPr>
              <w:t>Age of HRP 25 to 34</w:t>
            </w:r>
          </w:p>
        </w:tc>
        <w:tc>
          <w:tcPr>
            <w:tcW w:w="823" w:type="pct"/>
            <w:shd w:val="clear" w:color="000000" w:fill="000000"/>
            <w:noWrap/>
            <w:vAlign w:val="center"/>
            <w:hideMark/>
          </w:tcPr>
          <w:p w:rsidR="002C2D5C" w:rsidRPr="00374C95" w:rsidRDefault="002C2D5C" w:rsidP="00C378B2">
            <w:pPr>
              <w:spacing w:line="240" w:lineRule="auto"/>
              <w:jc w:val="both"/>
              <w:rPr>
                <w:rFonts w:cstheme="minorHAnsi"/>
                <w:b/>
                <w:bCs/>
                <w:color w:val="FFFFFF"/>
                <w:sz w:val="18"/>
                <w:szCs w:val="18"/>
              </w:rPr>
            </w:pPr>
            <w:r w:rsidRPr="00374C95">
              <w:rPr>
                <w:rFonts w:cstheme="minorHAnsi"/>
                <w:b/>
                <w:bCs/>
                <w:color w:val="FFFFFF"/>
                <w:sz w:val="18"/>
                <w:szCs w:val="18"/>
              </w:rPr>
              <w:t>Age of HRP 35 to 54</w:t>
            </w:r>
          </w:p>
        </w:tc>
        <w:tc>
          <w:tcPr>
            <w:tcW w:w="823" w:type="pct"/>
            <w:shd w:val="clear" w:color="000000" w:fill="000000"/>
            <w:noWrap/>
            <w:vAlign w:val="center"/>
            <w:hideMark/>
          </w:tcPr>
          <w:p w:rsidR="002C2D5C" w:rsidRPr="00374C95" w:rsidRDefault="002C2D5C" w:rsidP="00C378B2">
            <w:pPr>
              <w:spacing w:line="240" w:lineRule="auto"/>
              <w:jc w:val="both"/>
              <w:rPr>
                <w:rFonts w:cstheme="minorHAnsi"/>
                <w:b/>
                <w:bCs/>
                <w:color w:val="FFFFFF"/>
                <w:sz w:val="18"/>
                <w:szCs w:val="18"/>
              </w:rPr>
            </w:pPr>
            <w:r w:rsidRPr="00374C95">
              <w:rPr>
                <w:rFonts w:cstheme="minorHAnsi"/>
                <w:b/>
                <w:bCs/>
                <w:color w:val="FFFFFF"/>
                <w:sz w:val="18"/>
                <w:szCs w:val="18"/>
              </w:rPr>
              <w:t>Age of HRP 55 to 64</w:t>
            </w:r>
          </w:p>
        </w:tc>
        <w:tc>
          <w:tcPr>
            <w:tcW w:w="823" w:type="pct"/>
            <w:shd w:val="clear" w:color="000000" w:fill="000000"/>
            <w:noWrap/>
            <w:vAlign w:val="center"/>
            <w:hideMark/>
          </w:tcPr>
          <w:p w:rsidR="002C2D5C" w:rsidRPr="00374C95" w:rsidRDefault="002C2D5C" w:rsidP="00C378B2">
            <w:pPr>
              <w:spacing w:line="240" w:lineRule="auto"/>
              <w:jc w:val="both"/>
              <w:rPr>
                <w:rFonts w:cstheme="minorHAnsi"/>
                <w:b/>
                <w:bCs/>
                <w:color w:val="FFFFFF"/>
                <w:sz w:val="18"/>
                <w:szCs w:val="18"/>
              </w:rPr>
            </w:pPr>
            <w:r w:rsidRPr="00374C95">
              <w:rPr>
                <w:rFonts w:cstheme="minorHAnsi"/>
                <w:b/>
                <w:bCs/>
                <w:color w:val="FFFFFF"/>
                <w:sz w:val="18"/>
                <w:szCs w:val="18"/>
              </w:rPr>
              <w:t>Age of HRP 65 and over</w:t>
            </w:r>
          </w:p>
        </w:tc>
      </w:tr>
      <w:tr w:rsidR="002C2D5C" w:rsidRPr="00374C95" w:rsidTr="00162C47">
        <w:trPr>
          <w:trHeight w:val="300"/>
        </w:trPr>
        <w:tc>
          <w:tcPr>
            <w:tcW w:w="885" w:type="pct"/>
            <w:shd w:val="clear" w:color="auto" w:fill="auto"/>
            <w:noWrap/>
            <w:hideMark/>
          </w:tcPr>
          <w:p w:rsidR="002C2D5C" w:rsidRPr="00374C95" w:rsidRDefault="002C2D5C" w:rsidP="00C378B2">
            <w:pPr>
              <w:spacing w:line="240" w:lineRule="auto"/>
              <w:jc w:val="both"/>
              <w:rPr>
                <w:rFonts w:cstheme="minorHAnsi"/>
                <w:sz w:val="18"/>
                <w:szCs w:val="18"/>
              </w:rPr>
            </w:pPr>
            <w:r w:rsidRPr="00374C95">
              <w:rPr>
                <w:sz w:val="18"/>
                <w:szCs w:val="18"/>
              </w:rPr>
              <w:t>2011</w:t>
            </w:r>
          </w:p>
        </w:tc>
        <w:tc>
          <w:tcPr>
            <w:tcW w:w="823" w:type="pct"/>
            <w:shd w:val="clear" w:color="auto" w:fill="auto"/>
            <w:noWrap/>
          </w:tcPr>
          <w:p w:rsidR="002C2D5C" w:rsidRPr="00374C95" w:rsidRDefault="00162C47" w:rsidP="00C378B2">
            <w:pPr>
              <w:spacing w:line="240" w:lineRule="auto"/>
              <w:jc w:val="both"/>
              <w:rPr>
                <w:rFonts w:cstheme="minorHAnsi"/>
                <w:sz w:val="18"/>
                <w:szCs w:val="18"/>
              </w:rPr>
            </w:pPr>
            <w:r>
              <w:rPr>
                <w:rFonts w:cstheme="minorHAnsi"/>
                <w:sz w:val="18"/>
                <w:szCs w:val="18"/>
              </w:rPr>
              <w:t>18</w:t>
            </w:r>
          </w:p>
        </w:tc>
        <w:tc>
          <w:tcPr>
            <w:tcW w:w="823" w:type="pct"/>
            <w:shd w:val="clear" w:color="auto" w:fill="auto"/>
            <w:noWrap/>
          </w:tcPr>
          <w:p w:rsidR="002C2D5C" w:rsidRPr="00374C95" w:rsidRDefault="00162C47" w:rsidP="00C378B2">
            <w:pPr>
              <w:spacing w:line="240" w:lineRule="auto"/>
              <w:jc w:val="both"/>
              <w:rPr>
                <w:rFonts w:cstheme="minorHAnsi"/>
                <w:sz w:val="18"/>
                <w:szCs w:val="18"/>
              </w:rPr>
            </w:pPr>
            <w:r>
              <w:rPr>
                <w:rFonts w:cstheme="minorHAnsi"/>
                <w:sz w:val="18"/>
                <w:szCs w:val="18"/>
              </w:rPr>
              <w:t>41</w:t>
            </w:r>
          </w:p>
        </w:tc>
        <w:tc>
          <w:tcPr>
            <w:tcW w:w="823" w:type="pct"/>
            <w:shd w:val="clear" w:color="auto" w:fill="auto"/>
            <w:noWrap/>
          </w:tcPr>
          <w:p w:rsidR="002C2D5C" w:rsidRPr="00374C95" w:rsidRDefault="00162C47" w:rsidP="00C378B2">
            <w:pPr>
              <w:spacing w:line="240" w:lineRule="auto"/>
              <w:jc w:val="both"/>
              <w:rPr>
                <w:rFonts w:cstheme="minorHAnsi"/>
                <w:sz w:val="18"/>
                <w:szCs w:val="18"/>
              </w:rPr>
            </w:pPr>
            <w:r>
              <w:rPr>
                <w:rFonts w:cstheme="minorHAnsi"/>
                <w:sz w:val="18"/>
                <w:szCs w:val="18"/>
              </w:rPr>
              <w:t>161</w:t>
            </w:r>
          </w:p>
        </w:tc>
        <w:tc>
          <w:tcPr>
            <w:tcW w:w="823" w:type="pct"/>
            <w:shd w:val="clear" w:color="auto" w:fill="auto"/>
            <w:noWrap/>
          </w:tcPr>
          <w:p w:rsidR="002C2D5C" w:rsidRPr="00374C95" w:rsidRDefault="00162C47" w:rsidP="00C378B2">
            <w:pPr>
              <w:spacing w:line="240" w:lineRule="auto"/>
              <w:jc w:val="both"/>
              <w:rPr>
                <w:rFonts w:cstheme="minorHAnsi"/>
                <w:sz w:val="18"/>
                <w:szCs w:val="18"/>
              </w:rPr>
            </w:pPr>
            <w:r>
              <w:rPr>
                <w:rFonts w:cstheme="minorHAnsi"/>
                <w:sz w:val="18"/>
                <w:szCs w:val="18"/>
              </w:rPr>
              <w:t>121</w:t>
            </w:r>
          </w:p>
        </w:tc>
        <w:tc>
          <w:tcPr>
            <w:tcW w:w="823" w:type="pct"/>
            <w:shd w:val="clear" w:color="auto" w:fill="auto"/>
            <w:noWrap/>
          </w:tcPr>
          <w:p w:rsidR="002C2D5C" w:rsidRPr="00374C95" w:rsidRDefault="00162C47" w:rsidP="00C378B2">
            <w:pPr>
              <w:spacing w:line="240" w:lineRule="auto"/>
              <w:jc w:val="both"/>
              <w:rPr>
                <w:rFonts w:cstheme="minorHAnsi"/>
                <w:sz w:val="18"/>
                <w:szCs w:val="18"/>
              </w:rPr>
            </w:pPr>
            <w:r>
              <w:rPr>
                <w:rFonts w:cstheme="minorHAnsi"/>
                <w:sz w:val="18"/>
                <w:szCs w:val="18"/>
              </w:rPr>
              <w:t>164</w:t>
            </w:r>
          </w:p>
        </w:tc>
      </w:tr>
      <w:tr w:rsidR="002C2D5C" w:rsidRPr="00374C95" w:rsidTr="00162C47">
        <w:trPr>
          <w:trHeight w:val="300"/>
        </w:trPr>
        <w:tc>
          <w:tcPr>
            <w:tcW w:w="885" w:type="pct"/>
            <w:shd w:val="clear" w:color="auto" w:fill="auto"/>
            <w:noWrap/>
            <w:hideMark/>
          </w:tcPr>
          <w:p w:rsidR="002C2D5C" w:rsidRPr="00374C95" w:rsidRDefault="002C2D5C" w:rsidP="00C378B2">
            <w:pPr>
              <w:spacing w:line="240" w:lineRule="auto"/>
              <w:jc w:val="both"/>
              <w:rPr>
                <w:rFonts w:cstheme="minorHAnsi"/>
                <w:sz w:val="18"/>
                <w:szCs w:val="18"/>
              </w:rPr>
            </w:pPr>
            <w:r w:rsidRPr="00374C95">
              <w:rPr>
                <w:sz w:val="18"/>
                <w:szCs w:val="18"/>
              </w:rPr>
              <w:t>2014</w:t>
            </w:r>
          </w:p>
        </w:tc>
        <w:tc>
          <w:tcPr>
            <w:tcW w:w="823" w:type="pct"/>
            <w:shd w:val="clear" w:color="auto" w:fill="auto"/>
            <w:noWrap/>
          </w:tcPr>
          <w:p w:rsidR="002C2D5C" w:rsidRPr="00374C95" w:rsidRDefault="00162C47" w:rsidP="00C378B2">
            <w:pPr>
              <w:spacing w:line="240" w:lineRule="auto"/>
              <w:jc w:val="both"/>
              <w:rPr>
                <w:rFonts w:cstheme="minorHAnsi"/>
                <w:sz w:val="18"/>
                <w:szCs w:val="18"/>
              </w:rPr>
            </w:pPr>
            <w:r>
              <w:rPr>
                <w:rFonts w:cstheme="minorHAnsi"/>
                <w:sz w:val="18"/>
                <w:szCs w:val="18"/>
              </w:rPr>
              <w:t>21</w:t>
            </w:r>
          </w:p>
        </w:tc>
        <w:tc>
          <w:tcPr>
            <w:tcW w:w="823" w:type="pct"/>
            <w:shd w:val="clear" w:color="auto" w:fill="auto"/>
            <w:noWrap/>
          </w:tcPr>
          <w:p w:rsidR="002C2D5C" w:rsidRPr="00374C95" w:rsidRDefault="00162C47" w:rsidP="00C378B2">
            <w:pPr>
              <w:spacing w:line="240" w:lineRule="auto"/>
              <w:jc w:val="both"/>
              <w:rPr>
                <w:rFonts w:cstheme="minorHAnsi"/>
                <w:sz w:val="18"/>
                <w:szCs w:val="18"/>
              </w:rPr>
            </w:pPr>
            <w:r>
              <w:rPr>
                <w:rFonts w:cstheme="minorHAnsi"/>
                <w:sz w:val="18"/>
                <w:szCs w:val="18"/>
              </w:rPr>
              <w:t>4</w:t>
            </w:r>
            <w:r w:rsidR="002563D0">
              <w:rPr>
                <w:rFonts w:cstheme="minorHAnsi"/>
                <w:sz w:val="18"/>
                <w:szCs w:val="18"/>
              </w:rPr>
              <w:t>2</w:t>
            </w:r>
          </w:p>
        </w:tc>
        <w:tc>
          <w:tcPr>
            <w:tcW w:w="823" w:type="pct"/>
            <w:shd w:val="clear" w:color="auto" w:fill="auto"/>
            <w:noWrap/>
          </w:tcPr>
          <w:p w:rsidR="002C2D5C" w:rsidRPr="00374C95" w:rsidRDefault="00162C47" w:rsidP="00C378B2">
            <w:pPr>
              <w:spacing w:line="240" w:lineRule="auto"/>
              <w:jc w:val="both"/>
              <w:rPr>
                <w:rFonts w:cstheme="minorHAnsi"/>
                <w:sz w:val="18"/>
                <w:szCs w:val="18"/>
              </w:rPr>
            </w:pPr>
            <w:r>
              <w:rPr>
                <w:rFonts w:cstheme="minorHAnsi"/>
                <w:sz w:val="18"/>
                <w:szCs w:val="18"/>
              </w:rPr>
              <w:t>15</w:t>
            </w:r>
            <w:r w:rsidR="002563D0">
              <w:rPr>
                <w:rFonts w:cstheme="minorHAnsi"/>
                <w:sz w:val="18"/>
                <w:szCs w:val="18"/>
              </w:rPr>
              <w:t>4</w:t>
            </w:r>
          </w:p>
        </w:tc>
        <w:tc>
          <w:tcPr>
            <w:tcW w:w="823" w:type="pct"/>
            <w:shd w:val="clear" w:color="auto" w:fill="auto"/>
            <w:noWrap/>
          </w:tcPr>
          <w:p w:rsidR="002C2D5C" w:rsidRPr="00374C95" w:rsidRDefault="00162C47" w:rsidP="00C378B2">
            <w:pPr>
              <w:spacing w:line="240" w:lineRule="auto"/>
              <w:jc w:val="both"/>
              <w:rPr>
                <w:rFonts w:cstheme="minorHAnsi"/>
                <w:sz w:val="18"/>
                <w:szCs w:val="18"/>
              </w:rPr>
            </w:pPr>
            <w:r>
              <w:rPr>
                <w:rFonts w:cstheme="minorHAnsi"/>
                <w:sz w:val="18"/>
                <w:szCs w:val="18"/>
              </w:rPr>
              <w:t>1</w:t>
            </w:r>
            <w:r w:rsidR="002563D0">
              <w:rPr>
                <w:rFonts w:cstheme="minorHAnsi"/>
                <w:sz w:val="18"/>
                <w:szCs w:val="18"/>
              </w:rPr>
              <w:t>10</w:t>
            </w:r>
          </w:p>
        </w:tc>
        <w:tc>
          <w:tcPr>
            <w:tcW w:w="823" w:type="pct"/>
            <w:shd w:val="clear" w:color="auto" w:fill="auto"/>
            <w:noWrap/>
          </w:tcPr>
          <w:p w:rsidR="002C2D5C" w:rsidRPr="00374C95" w:rsidRDefault="00162C47" w:rsidP="00C378B2">
            <w:pPr>
              <w:spacing w:line="240" w:lineRule="auto"/>
              <w:jc w:val="both"/>
              <w:rPr>
                <w:rFonts w:cstheme="minorHAnsi"/>
                <w:sz w:val="18"/>
                <w:szCs w:val="18"/>
              </w:rPr>
            </w:pPr>
            <w:r>
              <w:rPr>
                <w:rFonts w:cstheme="minorHAnsi"/>
                <w:sz w:val="18"/>
                <w:szCs w:val="18"/>
              </w:rPr>
              <w:t>18</w:t>
            </w:r>
            <w:r w:rsidR="002563D0">
              <w:rPr>
                <w:rFonts w:cstheme="minorHAnsi"/>
                <w:sz w:val="18"/>
                <w:szCs w:val="18"/>
              </w:rPr>
              <w:t>7</w:t>
            </w:r>
          </w:p>
        </w:tc>
      </w:tr>
      <w:tr w:rsidR="002C2D5C" w:rsidRPr="00374C95" w:rsidTr="0042428A">
        <w:trPr>
          <w:trHeight w:val="300"/>
        </w:trPr>
        <w:tc>
          <w:tcPr>
            <w:tcW w:w="885" w:type="pct"/>
            <w:tcBorders>
              <w:bottom w:val="single" w:sz="4" w:space="0" w:color="auto"/>
            </w:tcBorders>
            <w:shd w:val="clear" w:color="auto" w:fill="auto"/>
            <w:noWrap/>
            <w:hideMark/>
          </w:tcPr>
          <w:p w:rsidR="002C2D5C" w:rsidRPr="00374C95" w:rsidRDefault="00117893" w:rsidP="00C378B2">
            <w:pPr>
              <w:spacing w:line="240" w:lineRule="auto"/>
              <w:jc w:val="both"/>
              <w:rPr>
                <w:rFonts w:cstheme="minorHAnsi"/>
                <w:sz w:val="18"/>
                <w:szCs w:val="18"/>
              </w:rPr>
            </w:pPr>
            <w:r>
              <w:rPr>
                <w:rFonts w:cstheme="minorHAnsi"/>
                <w:sz w:val="18"/>
                <w:szCs w:val="18"/>
              </w:rPr>
              <w:t>2036</w:t>
            </w:r>
          </w:p>
        </w:tc>
        <w:tc>
          <w:tcPr>
            <w:tcW w:w="823" w:type="pct"/>
            <w:tcBorders>
              <w:bottom w:val="single" w:sz="4" w:space="0" w:color="auto"/>
            </w:tcBorders>
            <w:shd w:val="clear" w:color="auto" w:fill="auto"/>
            <w:noWrap/>
          </w:tcPr>
          <w:p w:rsidR="002C2D5C" w:rsidRPr="00374C95" w:rsidRDefault="00162C47" w:rsidP="00C378B2">
            <w:pPr>
              <w:spacing w:line="240" w:lineRule="auto"/>
              <w:jc w:val="both"/>
              <w:rPr>
                <w:rFonts w:cstheme="minorHAnsi"/>
                <w:sz w:val="18"/>
                <w:szCs w:val="18"/>
              </w:rPr>
            </w:pPr>
            <w:r>
              <w:rPr>
                <w:rFonts w:cstheme="minorHAnsi"/>
                <w:sz w:val="18"/>
                <w:szCs w:val="18"/>
              </w:rPr>
              <w:t>2</w:t>
            </w:r>
            <w:r w:rsidR="002563D0">
              <w:rPr>
                <w:rFonts w:cstheme="minorHAnsi"/>
                <w:sz w:val="18"/>
                <w:szCs w:val="18"/>
              </w:rPr>
              <w:t>2</w:t>
            </w:r>
          </w:p>
        </w:tc>
        <w:tc>
          <w:tcPr>
            <w:tcW w:w="823" w:type="pct"/>
            <w:tcBorders>
              <w:bottom w:val="single" w:sz="4" w:space="0" w:color="auto"/>
            </w:tcBorders>
            <w:shd w:val="clear" w:color="auto" w:fill="auto"/>
            <w:noWrap/>
          </w:tcPr>
          <w:p w:rsidR="002C2D5C" w:rsidRPr="00374C95" w:rsidRDefault="00162C47" w:rsidP="00C378B2">
            <w:pPr>
              <w:spacing w:line="240" w:lineRule="auto"/>
              <w:jc w:val="both"/>
              <w:rPr>
                <w:rFonts w:cstheme="minorHAnsi"/>
                <w:sz w:val="18"/>
                <w:szCs w:val="18"/>
              </w:rPr>
            </w:pPr>
            <w:r>
              <w:rPr>
                <w:rFonts w:cstheme="minorHAnsi"/>
                <w:sz w:val="18"/>
                <w:szCs w:val="18"/>
              </w:rPr>
              <w:t>4</w:t>
            </w:r>
            <w:r w:rsidR="002563D0">
              <w:rPr>
                <w:rFonts w:cstheme="minorHAnsi"/>
                <w:sz w:val="18"/>
                <w:szCs w:val="18"/>
              </w:rPr>
              <w:t>0</w:t>
            </w:r>
          </w:p>
        </w:tc>
        <w:tc>
          <w:tcPr>
            <w:tcW w:w="823" w:type="pct"/>
            <w:tcBorders>
              <w:bottom w:val="single" w:sz="4" w:space="0" w:color="auto"/>
            </w:tcBorders>
            <w:shd w:val="clear" w:color="auto" w:fill="auto"/>
            <w:noWrap/>
          </w:tcPr>
          <w:p w:rsidR="002C2D5C" w:rsidRPr="00374C95" w:rsidRDefault="00162C47" w:rsidP="00C378B2">
            <w:pPr>
              <w:spacing w:line="240" w:lineRule="auto"/>
              <w:jc w:val="both"/>
              <w:rPr>
                <w:rFonts w:cstheme="minorHAnsi"/>
                <w:sz w:val="18"/>
                <w:szCs w:val="18"/>
              </w:rPr>
            </w:pPr>
            <w:r>
              <w:rPr>
                <w:rFonts w:cstheme="minorHAnsi"/>
                <w:sz w:val="18"/>
                <w:szCs w:val="18"/>
              </w:rPr>
              <w:t>15</w:t>
            </w:r>
            <w:r w:rsidR="002563D0">
              <w:rPr>
                <w:rFonts w:cstheme="minorHAnsi"/>
                <w:sz w:val="18"/>
                <w:szCs w:val="18"/>
              </w:rPr>
              <w:t>0</w:t>
            </w:r>
          </w:p>
        </w:tc>
        <w:tc>
          <w:tcPr>
            <w:tcW w:w="823" w:type="pct"/>
            <w:tcBorders>
              <w:bottom w:val="single" w:sz="4" w:space="0" w:color="auto"/>
            </w:tcBorders>
            <w:shd w:val="clear" w:color="auto" w:fill="auto"/>
            <w:noWrap/>
          </w:tcPr>
          <w:p w:rsidR="002C2D5C" w:rsidRPr="00374C95" w:rsidRDefault="00162C47" w:rsidP="00C378B2">
            <w:pPr>
              <w:spacing w:line="240" w:lineRule="auto"/>
              <w:jc w:val="both"/>
              <w:rPr>
                <w:rFonts w:cstheme="minorHAnsi"/>
                <w:sz w:val="18"/>
                <w:szCs w:val="18"/>
              </w:rPr>
            </w:pPr>
            <w:r>
              <w:rPr>
                <w:rFonts w:cstheme="minorHAnsi"/>
                <w:sz w:val="18"/>
                <w:szCs w:val="18"/>
              </w:rPr>
              <w:t>1</w:t>
            </w:r>
            <w:r w:rsidR="002563D0">
              <w:rPr>
                <w:rFonts w:cstheme="minorHAnsi"/>
                <w:sz w:val="18"/>
                <w:szCs w:val="18"/>
              </w:rPr>
              <w:t>10</w:t>
            </w:r>
          </w:p>
        </w:tc>
        <w:tc>
          <w:tcPr>
            <w:tcW w:w="823" w:type="pct"/>
            <w:tcBorders>
              <w:bottom w:val="single" w:sz="4" w:space="0" w:color="auto"/>
            </w:tcBorders>
            <w:shd w:val="clear" w:color="auto" w:fill="auto"/>
            <w:noWrap/>
          </w:tcPr>
          <w:p w:rsidR="002C2D5C" w:rsidRPr="00374C95" w:rsidRDefault="00E772BC" w:rsidP="00C378B2">
            <w:pPr>
              <w:spacing w:line="240" w:lineRule="auto"/>
              <w:jc w:val="both"/>
              <w:rPr>
                <w:rFonts w:cstheme="minorHAnsi"/>
                <w:sz w:val="18"/>
                <w:szCs w:val="18"/>
              </w:rPr>
            </w:pPr>
            <w:r>
              <w:rPr>
                <w:rFonts w:cstheme="minorHAnsi"/>
                <w:sz w:val="18"/>
                <w:szCs w:val="18"/>
              </w:rPr>
              <w:t>25</w:t>
            </w:r>
            <w:r w:rsidR="002563D0">
              <w:rPr>
                <w:rFonts w:cstheme="minorHAnsi"/>
                <w:sz w:val="18"/>
                <w:szCs w:val="18"/>
              </w:rPr>
              <w:t>2</w:t>
            </w:r>
          </w:p>
        </w:tc>
      </w:tr>
      <w:tr w:rsidR="003379D3" w:rsidRPr="00374C95" w:rsidTr="0042428A">
        <w:trPr>
          <w:trHeight w:val="300"/>
        </w:trPr>
        <w:tc>
          <w:tcPr>
            <w:tcW w:w="885" w:type="pct"/>
            <w:tcBorders>
              <w:bottom w:val="single" w:sz="4" w:space="0" w:color="auto"/>
            </w:tcBorders>
            <w:shd w:val="clear" w:color="auto" w:fill="auto"/>
            <w:noWrap/>
          </w:tcPr>
          <w:p w:rsidR="003379D3" w:rsidRPr="00374C95" w:rsidRDefault="003379D3" w:rsidP="003379D3">
            <w:pPr>
              <w:spacing w:line="240" w:lineRule="auto"/>
              <w:jc w:val="both"/>
              <w:rPr>
                <w:sz w:val="18"/>
                <w:szCs w:val="18"/>
              </w:rPr>
            </w:pPr>
            <w:r>
              <w:rPr>
                <w:sz w:val="18"/>
                <w:szCs w:val="18"/>
              </w:rPr>
              <w:t>% change 2011-</w:t>
            </w:r>
            <w:r w:rsidR="00E772BC">
              <w:rPr>
                <w:sz w:val="18"/>
                <w:szCs w:val="18"/>
              </w:rPr>
              <w:t>2014</w:t>
            </w:r>
          </w:p>
        </w:tc>
        <w:tc>
          <w:tcPr>
            <w:tcW w:w="823" w:type="pct"/>
            <w:tcBorders>
              <w:bottom w:val="single" w:sz="4" w:space="0" w:color="auto"/>
            </w:tcBorders>
            <w:shd w:val="clear" w:color="auto" w:fill="auto"/>
            <w:noWrap/>
          </w:tcPr>
          <w:p w:rsidR="003379D3" w:rsidRPr="00374C95" w:rsidRDefault="00E772BC" w:rsidP="003379D3">
            <w:pPr>
              <w:spacing w:line="240" w:lineRule="auto"/>
              <w:jc w:val="both"/>
              <w:rPr>
                <w:sz w:val="18"/>
                <w:szCs w:val="18"/>
              </w:rPr>
            </w:pPr>
            <w:r>
              <w:rPr>
                <w:sz w:val="18"/>
                <w:szCs w:val="18"/>
              </w:rPr>
              <w:t>19.0%</w:t>
            </w:r>
          </w:p>
        </w:tc>
        <w:tc>
          <w:tcPr>
            <w:tcW w:w="823" w:type="pct"/>
            <w:tcBorders>
              <w:bottom w:val="single" w:sz="4" w:space="0" w:color="auto"/>
            </w:tcBorders>
            <w:shd w:val="clear" w:color="auto" w:fill="auto"/>
            <w:noWrap/>
          </w:tcPr>
          <w:p w:rsidR="003379D3" w:rsidRPr="00374C95" w:rsidRDefault="00E772BC" w:rsidP="003379D3">
            <w:pPr>
              <w:spacing w:line="240" w:lineRule="auto"/>
              <w:jc w:val="both"/>
              <w:rPr>
                <w:sz w:val="18"/>
                <w:szCs w:val="18"/>
              </w:rPr>
            </w:pPr>
            <w:r>
              <w:rPr>
                <w:sz w:val="18"/>
                <w:szCs w:val="18"/>
              </w:rPr>
              <w:t>4.5%</w:t>
            </w:r>
          </w:p>
        </w:tc>
        <w:tc>
          <w:tcPr>
            <w:tcW w:w="823" w:type="pct"/>
            <w:tcBorders>
              <w:bottom w:val="single" w:sz="4" w:space="0" w:color="auto"/>
            </w:tcBorders>
            <w:shd w:val="clear" w:color="auto" w:fill="auto"/>
            <w:noWrap/>
          </w:tcPr>
          <w:p w:rsidR="003379D3" w:rsidRPr="00374C95" w:rsidRDefault="00E772BC" w:rsidP="003379D3">
            <w:pPr>
              <w:spacing w:line="240" w:lineRule="auto"/>
              <w:jc w:val="both"/>
              <w:rPr>
                <w:sz w:val="18"/>
                <w:szCs w:val="18"/>
              </w:rPr>
            </w:pPr>
            <w:r>
              <w:rPr>
                <w:sz w:val="18"/>
                <w:szCs w:val="18"/>
              </w:rPr>
              <w:t>-4.0%</w:t>
            </w:r>
          </w:p>
        </w:tc>
        <w:tc>
          <w:tcPr>
            <w:tcW w:w="823" w:type="pct"/>
            <w:tcBorders>
              <w:bottom w:val="single" w:sz="4" w:space="0" w:color="auto"/>
            </w:tcBorders>
            <w:shd w:val="clear" w:color="auto" w:fill="auto"/>
            <w:noWrap/>
          </w:tcPr>
          <w:p w:rsidR="003379D3" w:rsidRPr="00374C95" w:rsidRDefault="00E772BC" w:rsidP="003379D3">
            <w:pPr>
              <w:spacing w:line="240" w:lineRule="auto"/>
              <w:jc w:val="both"/>
              <w:rPr>
                <w:sz w:val="18"/>
                <w:szCs w:val="18"/>
              </w:rPr>
            </w:pPr>
            <w:r>
              <w:rPr>
                <w:sz w:val="18"/>
                <w:szCs w:val="18"/>
              </w:rPr>
              <w:t>-11.9%</w:t>
            </w:r>
          </w:p>
        </w:tc>
        <w:tc>
          <w:tcPr>
            <w:tcW w:w="823" w:type="pct"/>
            <w:tcBorders>
              <w:bottom w:val="single" w:sz="4" w:space="0" w:color="auto"/>
            </w:tcBorders>
            <w:shd w:val="clear" w:color="auto" w:fill="auto"/>
            <w:noWrap/>
          </w:tcPr>
          <w:p w:rsidR="003379D3" w:rsidRPr="00374C95" w:rsidRDefault="00E772BC" w:rsidP="003379D3">
            <w:pPr>
              <w:spacing w:line="240" w:lineRule="auto"/>
              <w:jc w:val="both"/>
              <w:rPr>
                <w:sz w:val="18"/>
                <w:szCs w:val="18"/>
              </w:rPr>
            </w:pPr>
            <w:r>
              <w:rPr>
                <w:sz w:val="18"/>
                <w:szCs w:val="18"/>
              </w:rPr>
              <w:t>12.9%</w:t>
            </w:r>
          </w:p>
        </w:tc>
      </w:tr>
    </w:tbl>
    <w:p w:rsidR="002C2D5C" w:rsidRPr="00374C95" w:rsidRDefault="002C2D5C" w:rsidP="002C2D5C">
      <w:pPr>
        <w:pStyle w:val="Source"/>
        <w:jc w:val="both"/>
        <w:rPr>
          <w:sz w:val="18"/>
          <w:szCs w:val="18"/>
          <w:lang w:val="en-GB"/>
        </w:rPr>
      </w:pPr>
      <w:r w:rsidRPr="00374C95">
        <w:rPr>
          <w:sz w:val="18"/>
          <w:szCs w:val="18"/>
          <w:lang w:val="en-GB"/>
        </w:rPr>
        <w:t>Source: AECOM Calculations</w:t>
      </w:r>
    </w:p>
    <w:p w:rsidR="002C2D5C" w:rsidRPr="006958B1" w:rsidRDefault="00430AD8" w:rsidP="002C2D5C">
      <w:pPr>
        <w:pStyle w:val="ListNumber"/>
        <w:spacing w:before="0"/>
        <w:jc w:val="both"/>
        <w:rPr>
          <w:rFonts w:asciiTheme="majorHAnsi" w:hAnsiTheme="majorHAnsi"/>
          <w:b/>
          <w:bCs/>
          <w:color w:val="00B5E2" w:themeColor="accent1"/>
          <w:sz w:val="18"/>
          <w:szCs w:val="18"/>
        </w:rPr>
      </w:pPr>
      <w:r>
        <w:rPr>
          <w:sz w:val="18"/>
          <w:szCs w:val="18"/>
        </w:rPr>
        <w:lastRenderedPageBreak/>
        <w:t>To</w:t>
      </w:r>
      <w:r w:rsidR="00E26243">
        <w:rPr>
          <w:sz w:val="18"/>
          <w:szCs w:val="18"/>
        </w:rPr>
        <w:t xml:space="preserve"> complement </w:t>
      </w:r>
      <w:r w:rsidR="006958B1">
        <w:rPr>
          <w:sz w:val="18"/>
          <w:szCs w:val="18"/>
        </w:rPr>
        <w:t>the two stages i</w:t>
      </w:r>
      <w:r w:rsidR="002C2D5C" w:rsidRPr="006958B1">
        <w:rPr>
          <w:sz w:val="18"/>
          <w:szCs w:val="18"/>
        </w:rPr>
        <w:t xml:space="preserve">n </w:t>
      </w:r>
      <w:fldSimple w:instr=" REF _Ref2610434 \h  \* MERGEFORMAT ">
        <w:r w:rsidR="00E14AFB" w:rsidRPr="002D4F56">
          <w:rPr>
            <w:sz w:val="18"/>
            <w:szCs w:val="18"/>
          </w:rPr>
          <w:t xml:space="preserve">Table </w:t>
        </w:r>
        <w:r w:rsidR="00E14AFB">
          <w:rPr>
            <w:noProof/>
            <w:sz w:val="18"/>
            <w:szCs w:val="18"/>
          </w:rPr>
          <w:t>6</w:t>
        </w:r>
        <w:r w:rsidR="00E14AFB" w:rsidRPr="002D4F56">
          <w:rPr>
            <w:noProof/>
            <w:sz w:val="18"/>
            <w:szCs w:val="18"/>
          </w:rPr>
          <w:noBreakHyphen/>
        </w:r>
        <w:r w:rsidR="00E14AFB">
          <w:rPr>
            <w:noProof/>
            <w:sz w:val="18"/>
            <w:szCs w:val="18"/>
          </w:rPr>
          <w:t>11</w:t>
        </w:r>
      </w:fldSimple>
      <w:r w:rsidR="006958B1">
        <w:rPr>
          <w:sz w:val="18"/>
          <w:szCs w:val="18"/>
        </w:rPr>
        <w:t xml:space="preserve"> </w:t>
      </w:r>
      <w:bookmarkStart w:id="131" w:name="_Ref525814425"/>
      <w:r w:rsidR="00E26243">
        <w:rPr>
          <w:sz w:val="18"/>
          <w:szCs w:val="18"/>
        </w:rPr>
        <w:t xml:space="preserve">below </w:t>
      </w:r>
      <w:r w:rsidR="00E26243" w:rsidRPr="00E26243">
        <w:rPr>
          <w:sz w:val="18"/>
          <w:szCs w:val="18"/>
        </w:rPr>
        <w:t>set</w:t>
      </w:r>
      <w:r>
        <w:rPr>
          <w:sz w:val="18"/>
          <w:szCs w:val="18"/>
        </w:rPr>
        <w:t>s</w:t>
      </w:r>
      <w:r w:rsidR="00E26243" w:rsidRPr="00E26243">
        <w:rPr>
          <w:sz w:val="18"/>
          <w:szCs w:val="18"/>
        </w:rPr>
        <w:t xml:space="preserve"> out the distribution of dwellings of different sizes according to the age of the HRP as they appeared in Census 2011. This provides the basis for </w:t>
      </w:r>
      <w:r w:rsidR="00E26243" w:rsidRPr="00F42454">
        <w:rPr>
          <w:sz w:val="18"/>
          <w:szCs w:val="18"/>
        </w:rPr>
        <w:t>a modelled estimate of the proportion of dwelling sizes that will be occupied by</w:t>
      </w:r>
      <w:r w:rsidR="00E26243">
        <w:rPr>
          <w:sz w:val="18"/>
          <w:szCs w:val="18"/>
        </w:rPr>
        <w:t xml:space="preserve"> each age band across </w:t>
      </w:r>
      <w:r w:rsidR="00313887">
        <w:rPr>
          <w:sz w:val="18"/>
          <w:szCs w:val="18"/>
        </w:rPr>
        <w:t>Broadland</w:t>
      </w:r>
      <w:r w:rsidR="00E26243">
        <w:rPr>
          <w:sz w:val="18"/>
          <w:szCs w:val="18"/>
        </w:rPr>
        <w:t xml:space="preserve"> </w:t>
      </w:r>
      <w:r w:rsidR="00907925">
        <w:rPr>
          <w:sz w:val="18"/>
          <w:szCs w:val="18"/>
        </w:rPr>
        <w:t>by the end of the plan period</w:t>
      </w:r>
      <w:r w:rsidR="00E26243" w:rsidRPr="00F42454">
        <w:rPr>
          <w:sz w:val="18"/>
          <w:szCs w:val="18"/>
        </w:rPr>
        <w:t>.</w:t>
      </w:r>
      <w:r w:rsidR="00C65FBC">
        <w:rPr>
          <w:sz w:val="18"/>
          <w:szCs w:val="18"/>
        </w:rPr>
        <w:t xml:space="preserve"> </w:t>
      </w:r>
    </w:p>
    <w:p w:rsidR="002C2D5C" w:rsidRPr="002D4F56" w:rsidRDefault="002C2D5C" w:rsidP="002C2D5C">
      <w:pPr>
        <w:pStyle w:val="Caption"/>
        <w:jc w:val="both"/>
        <w:rPr>
          <w:sz w:val="18"/>
          <w:szCs w:val="18"/>
        </w:rPr>
      </w:pPr>
      <w:bookmarkStart w:id="132" w:name="_Ref2610434"/>
      <w:bookmarkEnd w:id="131"/>
      <w:r w:rsidRPr="002D4F56">
        <w:rPr>
          <w:sz w:val="18"/>
          <w:szCs w:val="18"/>
        </w:rPr>
        <w:t xml:space="preserve">Table </w:t>
      </w:r>
      <w:r w:rsidR="001A69AC" w:rsidRPr="002D4F56">
        <w:rPr>
          <w:noProof/>
          <w:sz w:val="18"/>
          <w:szCs w:val="18"/>
        </w:rPr>
        <w:fldChar w:fldCharType="begin"/>
      </w:r>
      <w:r w:rsidRPr="002D4F56">
        <w:rPr>
          <w:noProof/>
          <w:sz w:val="18"/>
          <w:szCs w:val="18"/>
        </w:rPr>
        <w:instrText xml:space="preserve"> STYLEREF 1 \s </w:instrText>
      </w:r>
      <w:r w:rsidR="001A69AC" w:rsidRPr="002D4F56">
        <w:rPr>
          <w:noProof/>
          <w:sz w:val="18"/>
          <w:szCs w:val="18"/>
        </w:rPr>
        <w:fldChar w:fldCharType="separate"/>
      </w:r>
      <w:r w:rsidR="00E14AFB">
        <w:rPr>
          <w:noProof/>
          <w:sz w:val="18"/>
          <w:szCs w:val="18"/>
        </w:rPr>
        <w:t>6</w:t>
      </w:r>
      <w:r w:rsidR="001A69AC" w:rsidRPr="002D4F56">
        <w:rPr>
          <w:noProof/>
          <w:sz w:val="18"/>
          <w:szCs w:val="18"/>
        </w:rPr>
        <w:fldChar w:fldCharType="end"/>
      </w:r>
      <w:r w:rsidRPr="002D4F56">
        <w:rPr>
          <w:sz w:val="18"/>
          <w:szCs w:val="18"/>
        </w:rPr>
        <w:noBreakHyphen/>
      </w:r>
      <w:r w:rsidR="001A69AC" w:rsidRPr="002D4F56">
        <w:rPr>
          <w:noProof/>
          <w:sz w:val="18"/>
          <w:szCs w:val="18"/>
        </w:rPr>
        <w:fldChar w:fldCharType="begin"/>
      </w:r>
      <w:r w:rsidRPr="002D4F56">
        <w:rPr>
          <w:noProof/>
          <w:sz w:val="18"/>
          <w:szCs w:val="18"/>
        </w:rPr>
        <w:instrText xml:space="preserve"> SEQ Table \* ARABIC \s 1 </w:instrText>
      </w:r>
      <w:r w:rsidR="001A69AC" w:rsidRPr="002D4F56">
        <w:rPr>
          <w:noProof/>
          <w:sz w:val="18"/>
          <w:szCs w:val="18"/>
        </w:rPr>
        <w:fldChar w:fldCharType="separate"/>
      </w:r>
      <w:r w:rsidR="00E14AFB">
        <w:rPr>
          <w:noProof/>
          <w:sz w:val="18"/>
          <w:szCs w:val="18"/>
        </w:rPr>
        <w:t>11</w:t>
      </w:r>
      <w:r w:rsidR="001A69AC" w:rsidRPr="002D4F56">
        <w:rPr>
          <w:noProof/>
          <w:sz w:val="18"/>
          <w:szCs w:val="18"/>
        </w:rPr>
        <w:fldChar w:fldCharType="end"/>
      </w:r>
      <w:bookmarkEnd w:id="132"/>
      <w:r w:rsidRPr="002D4F56">
        <w:rPr>
          <w:sz w:val="18"/>
          <w:szCs w:val="18"/>
        </w:rPr>
        <w:t>: Age of household ref</w:t>
      </w:r>
      <w:r w:rsidR="00374C95" w:rsidRPr="002D4F56">
        <w:rPr>
          <w:sz w:val="18"/>
          <w:szCs w:val="18"/>
        </w:rPr>
        <w:t xml:space="preserve">erence person to size, grouped, </w:t>
      </w:r>
      <w:r w:rsidR="00AD0972">
        <w:rPr>
          <w:sz w:val="18"/>
          <w:szCs w:val="18"/>
        </w:rPr>
        <w:t>Broadland</w:t>
      </w:r>
      <w:r w:rsidR="00E26243">
        <w:rPr>
          <w:sz w:val="18"/>
          <w:szCs w:val="18"/>
        </w:rPr>
        <w:t>, Census 2011</w:t>
      </w:r>
    </w:p>
    <w:tbl>
      <w:tblPr>
        <w:tblW w:w="4776" w:type="pct"/>
        <w:tblInd w:w="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706"/>
        <w:gridCol w:w="1544"/>
        <w:gridCol w:w="1543"/>
        <w:gridCol w:w="1543"/>
        <w:gridCol w:w="1543"/>
        <w:gridCol w:w="1543"/>
      </w:tblGrid>
      <w:tr w:rsidR="002C2D5C" w:rsidRPr="00374C95" w:rsidTr="00C378B2">
        <w:trPr>
          <w:trHeight w:val="288"/>
        </w:trPr>
        <w:tc>
          <w:tcPr>
            <w:tcW w:w="905" w:type="pct"/>
            <w:shd w:val="clear" w:color="auto" w:fill="000000" w:themeFill="text1"/>
            <w:noWrap/>
            <w:tcMar>
              <w:top w:w="15" w:type="dxa"/>
              <w:left w:w="15" w:type="dxa"/>
              <w:bottom w:w="0" w:type="dxa"/>
              <w:right w:w="15" w:type="dxa"/>
            </w:tcMar>
            <w:vAlign w:val="center"/>
            <w:hideMark/>
          </w:tcPr>
          <w:p w:rsidR="002C2D5C" w:rsidRPr="00374C95" w:rsidRDefault="002C2D5C" w:rsidP="00C378B2">
            <w:pPr>
              <w:jc w:val="both"/>
              <w:rPr>
                <w:rFonts w:cstheme="minorHAnsi"/>
                <w:b/>
                <w:color w:val="FFFFFF" w:themeColor="background2"/>
                <w:sz w:val="18"/>
                <w:szCs w:val="18"/>
              </w:rPr>
            </w:pPr>
            <w:r w:rsidRPr="00374C95">
              <w:rPr>
                <w:rFonts w:cstheme="minorHAnsi"/>
                <w:b/>
                <w:color w:val="FFFFFF" w:themeColor="background2"/>
                <w:sz w:val="18"/>
                <w:szCs w:val="18"/>
              </w:rPr>
              <w:t>Size</w:t>
            </w:r>
          </w:p>
        </w:tc>
        <w:tc>
          <w:tcPr>
            <w:tcW w:w="819" w:type="pct"/>
            <w:shd w:val="clear" w:color="auto" w:fill="000000" w:themeFill="text1"/>
            <w:noWrap/>
            <w:tcMar>
              <w:top w:w="15" w:type="dxa"/>
              <w:left w:w="15" w:type="dxa"/>
              <w:bottom w:w="0" w:type="dxa"/>
              <w:right w:w="15" w:type="dxa"/>
            </w:tcMar>
            <w:vAlign w:val="center"/>
            <w:hideMark/>
          </w:tcPr>
          <w:p w:rsidR="002C2D5C" w:rsidRPr="00374C95" w:rsidRDefault="002C2D5C" w:rsidP="00C378B2">
            <w:pPr>
              <w:jc w:val="both"/>
              <w:rPr>
                <w:rFonts w:cstheme="minorHAnsi"/>
                <w:b/>
                <w:color w:val="FFFFFF" w:themeColor="background2"/>
                <w:sz w:val="18"/>
                <w:szCs w:val="18"/>
              </w:rPr>
            </w:pPr>
            <w:r w:rsidRPr="00374C95">
              <w:rPr>
                <w:rFonts w:cstheme="minorHAnsi"/>
                <w:b/>
                <w:color w:val="FFFFFF" w:themeColor="background2"/>
                <w:sz w:val="18"/>
                <w:szCs w:val="18"/>
              </w:rPr>
              <w:t>Age of HRP 16 to 24</w:t>
            </w:r>
          </w:p>
        </w:tc>
        <w:tc>
          <w:tcPr>
            <w:tcW w:w="819" w:type="pct"/>
            <w:shd w:val="clear" w:color="auto" w:fill="000000" w:themeFill="text1"/>
            <w:noWrap/>
            <w:tcMar>
              <w:top w:w="15" w:type="dxa"/>
              <w:left w:w="15" w:type="dxa"/>
              <w:bottom w:w="0" w:type="dxa"/>
              <w:right w:w="15" w:type="dxa"/>
            </w:tcMar>
            <w:vAlign w:val="center"/>
            <w:hideMark/>
          </w:tcPr>
          <w:p w:rsidR="002C2D5C" w:rsidRPr="00374C95" w:rsidRDefault="002C2D5C" w:rsidP="00C378B2">
            <w:pPr>
              <w:jc w:val="both"/>
              <w:rPr>
                <w:rFonts w:cstheme="minorHAnsi"/>
                <w:b/>
                <w:color w:val="FFFFFF" w:themeColor="background2"/>
                <w:sz w:val="18"/>
                <w:szCs w:val="18"/>
              </w:rPr>
            </w:pPr>
            <w:r w:rsidRPr="00374C95">
              <w:rPr>
                <w:rFonts w:cstheme="minorHAnsi"/>
                <w:b/>
                <w:bCs/>
                <w:color w:val="FFFFFF"/>
                <w:sz w:val="18"/>
                <w:szCs w:val="18"/>
              </w:rPr>
              <w:t>Age of HRP 25 to 34</w:t>
            </w:r>
          </w:p>
        </w:tc>
        <w:tc>
          <w:tcPr>
            <w:tcW w:w="819" w:type="pct"/>
            <w:shd w:val="clear" w:color="auto" w:fill="000000" w:themeFill="text1"/>
            <w:noWrap/>
            <w:tcMar>
              <w:top w:w="15" w:type="dxa"/>
              <w:left w:w="15" w:type="dxa"/>
              <w:bottom w:w="0" w:type="dxa"/>
              <w:right w:w="15" w:type="dxa"/>
            </w:tcMar>
            <w:vAlign w:val="center"/>
            <w:hideMark/>
          </w:tcPr>
          <w:p w:rsidR="002C2D5C" w:rsidRPr="00374C95" w:rsidRDefault="002C2D5C" w:rsidP="00C378B2">
            <w:pPr>
              <w:jc w:val="both"/>
              <w:rPr>
                <w:rFonts w:cstheme="minorHAnsi"/>
                <w:b/>
                <w:color w:val="FFFFFF" w:themeColor="background2"/>
                <w:sz w:val="18"/>
                <w:szCs w:val="18"/>
              </w:rPr>
            </w:pPr>
            <w:r w:rsidRPr="00374C95">
              <w:rPr>
                <w:rFonts w:cstheme="minorHAnsi"/>
                <w:b/>
                <w:color w:val="FFFFFF" w:themeColor="background2"/>
                <w:sz w:val="18"/>
                <w:szCs w:val="18"/>
              </w:rPr>
              <w:t>Age of HRP 35 to 54</w:t>
            </w:r>
          </w:p>
        </w:tc>
        <w:tc>
          <w:tcPr>
            <w:tcW w:w="819" w:type="pct"/>
            <w:shd w:val="clear" w:color="auto" w:fill="000000" w:themeFill="text1"/>
            <w:noWrap/>
            <w:tcMar>
              <w:top w:w="15" w:type="dxa"/>
              <w:left w:w="15" w:type="dxa"/>
              <w:bottom w:w="0" w:type="dxa"/>
              <w:right w:w="15" w:type="dxa"/>
            </w:tcMar>
            <w:vAlign w:val="center"/>
            <w:hideMark/>
          </w:tcPr>
          <w:p w:rsidR="002C2D5C" w:rsidRPr="00374C95" w:rsidRDefault="002C2D5C" w:rsidP="00C378B2">
            <w:pPr>
              <w:jc w:val="both"/>
              <w:rPr>
                <w:rFonts w:cstheme="minorHAnsi"/>
                <w:b/>
                <w:color w:val="FFFFFF" w:themeColor="background2"/>
                <w:sz w:val="18"/>
                <w:szCs w:val="18"/>
              </w:rPr>
            </w:pPr>
            <w:r w:rsidRPr="00374C95">
              <w:rPr>
                <w:rFonts w:cstheme="minorHAnsi"/>
                <w:b/>
                <w:color w:val="FFFFFF" w:themeColor="background2"/>
                <w:sz w:val="18"/>
                <w:szCs w:val="18"/>
              </w:rPr>
              <w:t>Age of HRP 55 to 64</w:t>
            </w:r>
          </w:p>
        </w:tc>
        <w:tc>
          <w:tcPr>
            <w:tcW w:w="819" w:type="pct"/>
            <w:shd w:val="clear" w:color="auto" w:fill="000000" w:themeFill="text1"/>
            <w:noWrap/>
            <w:tcMar>
              <w:top w:w="15" w:type="dxa"/>
              <w:left w:w="15" w:type="dxa"/>
              <w:bottom w:w="0" w:type="dxa"/>
              <w:right w:w="15" w:type="dxa"/>
            </w:tcMar>
            <w:vAlign w:val="center"/>
            <w:hideMark/>
          </w:tcPr>
          <w:p w:rsidR="002C2D5C" w:rsidRPr="00374C95" w:rsidRDefault="002C2D5C" w:rsidP="00C378B2">
            <w:pPr>
              <w:jc w:val="both"/>
              <w:rPr>
                <w:rFonts w:cstheme="minorHAnsi"/>
                <w:b/>
                <w:color w:val="FFFFFF" w:themeColor="background2"/>
                <w:sz w:val="18"/>
                <w:szCs w:val="18"/>
              </w:rPr>
            </w:pPr>
            <w:r w:rsidRPr="00374C95">
              <w:rPr>
                <w:rFonts w:cstheme="minorHAnsi"/>
                <w:b/>
                <w:color w:val="FFFFFF" w:themeColor="background2"/>
                <w:sz w:val="18"/>
                <w:szCs w:val="18"/>
              </w:rPr>
              <w:t>Age of HRP 65 and over</w:t>
            </w:r>
          </w:p>
        </w:tc>
      </w:tr>
      <w:tr w:rsidR="002C2D5C" w:rsidRPr="00374C95" w:rsidTr="00AD0972">
        <w:trPr>
          <w:trHeight w:val="288"/>
        </w:trPr>
        <w:tc>
          <w:tcPr>
            <w:tcW w:w="905" w:type="pct"/>
            <w:shd w:val="clear" w:color="auto" w:fill="auto"/>
            <w:noWrap/>
            <w:tcMar>
              <w:top w:w="15" w:type="dxa"/>
              <w:left w:w="15" w:type="dxa"/>
              <w:bottom w:w="0" w:type="dxa"/>
              <w:right w:w="15" w:type="dxa"/>
            </w:tcMar>
            <w:vAlign w:val="center"/>
            <w:hideMark/>
          </w:tcPr>
          <w:p w:rsidR="002C2D5C" w:rsidRPr="00374C95" w:rsidRDefault="002C2D5C" w:rsidP="00C378B2">
            <w:pPr>
              <w:jc w:val="both"/>
              <w:rPr>
                <w:rFonts w:cstheme="minorHAnsi"/>
                <w:sz w:val="18"/>
                <w:szCs w:val="18"/>
              </w:rPr>
            </w:pPr>
            <w:r w:rsidRPr="00374C95">
              <w:rPr>
                <w:rFonts w:cstheme="minorHAnsi"/>
                <w:sz w:val="18"/>
                <w:szCs w:val="18"/>
              </w:rPr>
              <w:t>1 bedroom</w:t>
            </w:r>
          </w:p>
        </w:tc>
        <w:tc>
          <w:tcPr>
            <w:tcW w:w="819" w:type="pct"/>
            <w:shd w:val="clear" w:color="auto" w:fill="auto"/>
            <w:noWrap/>
            <w:tcMar>
              <w:top w:w="15" w:type="dxa"/>
              <w:left w:w="15" w:type="dxa"/>
              <w:bottom w:w="0" w:type="dxa"/>
              <w:right w:w="15" w:type="dxa"/>
            </w:tcMar>
          </w:tcPr>
          <w:p w:rsidR="002C2D5C" w:rsidRPr="00374C95" w:rsidRDefault="00AD0972" w:rsidP="00C378B2">
            <w:pPr>
              <w:jc w:val="both"/>
              <w:rPr>
                <w:rFonts w:cstheme="minorHAnsi"/>
                <w:sz w:val="18"/>
                <w:szCs w:val="18"/>
              </w:rPr>
            </w:pPr>
            <w:r>
              <w:rPr>
                <w:rFonts w:cstheme="minorHAnsi"/>
                <w:sz w:val="18"/>
                <w:szCs w:val="18"/>
              </w:rPr>
              <w:t>17.7%</w:t>
            </w:r>
          </w:p>
        </w:tc>
        <w:tc>
          <w:tcPr>
            <w:tcW w:w="819" w:type="pct"/>
            <w:shd w:val="clear" w:color="auto" w:fill="auto"/>
            <w:noWrap/>
            <w:tcMar>
              <w:top w:w="15" w:type="dxa"/>
              <w:left w:w="15" w:type="dxa"/>
              <w:bottom w:w="0" w:type="dxa"/>
              <w:right w:w="15" w:type="dxa"/>
            </w:tcMar>
          </w:tcPr>
          <w:p w:rsidR="002C2D5C" w:rsidRPr="00374C95" w:rsidRDefault="00AD0972" w:rsidP="00C378B2">
            <w:pPr>
              <w:jc w:val="both"/>
              <w:rPr>
                <w:rFonts w:cstheme="minorHAnsi"/>
                <w:sz w:val="18"/>
                <w:szCs w:val="18"/>
              </w:rPr>
            </w:pPr>
            <w:r>
              <w:rPr>
                <w:rFonts w:cstheme="minorHAnsi"/>
                <w:sz w:val="18"/>
                <w:szCs w:val="18"/>
              </w:rPr>
              <w:t>8.2%</w:t>
            </w:r>
          </w:p>
        </w:tc>
        <w:tc>
          <w:tcPr>
            <w:tcW w:w="819" w:type="pct"/>
            <w:shd w:val="clear" w:color="auto" w:fill="auto"/>
            <w:noWrap/>
            <w:tcMar>
              <w:top w:w="15" w:type="dxa"/>
              <w:left w:w="15" w:type="dxa"/>
              <w:bottom w:w="0" w:type="dxa"/>
              <w:right w:w="15" w:type="dxa"/>
            </w:tcMar>
          </w:tcPr>
          <w:p w:rsidR="002C2D5C" w:rsidRPr="00374C95" w:rsidRDefault="00AD0972" w:rsidP="00C378B2">
            <w:pPr>
              <w:jc w:val="both"/>
              <w:rPr>
                <w:rFonts w:cstheme="minorHAnsi"/>
                <w:sz w:val="18"/>
                <w:szCs w:val="18"/>
              </w:rPr>
            </w:pPr>
            <w:r>
              <w:rPr>
                <w:rFonts w:cstheme="minorHAnsi"/>
                <w:sz w:val="18"/>
                <w:szCs w:val="18"/>
              </w:rPr>
              <w:t>3.5%</w:t>
            </w:r>
          </w:p>
        </w:tc>
        <w:tc>
          <w:tcPr>
            <w:tcW w:w="819" w:type="pct"/>
            <w:shd w:val="clear" w:color="auto" w:fill="auto"/>
            <w:noWrap/>
            <w:tcMar>
              <w:top w:w="15" w:type="dxa"/>
              <w:left w:w="15" w:type="dxa"/>
              <w:bottom w:w="0" w:type="dxa"/>
              <w:right w:w="15" w:type="dxa"/>
            </w:tcMar>
          </w:tcPr>
          <w:p w:rsidR="002C2D5C" w:rsidRPr="00374C95" w:rsidRDefault="00813D9C" w:rsidP="00C378B2">
            <w:pPr>
              <w:jc w:val="both"/>
              <w:rPr>
                <w:rFonts w:cstheme="minorHAnsi"/>
                <w:sz w:val="18"/>
                <w:szCs w:val="18"/>
              </w:rPr>
            </w:pPr>
            <w:r>
              <w:rPr>
                <w:rFonts w:cstheme="minorHAnsi"/>
                <w:sz w:val="18"/>
                <w:szCs w:val="18"/>
              </w:rPr>
              <w:t>3.5%</w:t>
            </w:r>
          </w:p>
        </w:tc>
        <w:tc>
          <w:tcPr>
            <w:tcW w:w="819" w:type="pct"/>
            <w:shd w:val="clear" w:color="auto" w:fill="auto"/>
            <w:noWrap/>
            <w:tcMar>
              <w:top w:w="15" w:type="dxa"/>
              <w:left w:w="15" w:type="dxa"/>
              <w:bottom w:w="0" w:type="dxa"/>
              <w:right w:w="15" w:type="dxa"/>
            </w:tcMar>
          </w:tcPr>
          <w:p w:rsidR="002C2D5C" w:rsidRPr="00374C95" w:rsidRDefault="00813D9C" w:rsidP="00C378B2">
            <w:pPr>
              <w:jc w:val="both"/>
              <w:rPr>
                <w:rFonts w:cstheme="minorHAnsi"/>
                <w:sz w:val="18"/>
                <w:szCs w:val="18"/>
              </w:rPr>
            </w:pPr>
            <w:r>
              <w:rPr>
                <w:rFonts w:cstheme="minorHAnsi"/>
                <w:sz w:val="18"/>
                <w:szCs w:val="18"/>
              </w:rPr>
              <w:t>6.2%</w:t>
            </w:r>
          </w:p>
        </w:tc>
      </w:tr>
      <w:tr w:rsidR="002C2D5C" w:rsidRPr="00374C95" w:rsidTr="00AD0972">
        <w:trPr>
          <w:trHeight w:val="288"/>
        </w:trPr>
        <w:tc>
          <w:tcPr>
            <w:tcW w:w="905" w:type="pct"/>
            <w:shd w:val="clear" w:color="auto" w:fill="auto"/>
            <w:noWrap/>
            <w:tcMar>
              <w:top w:w="15" w:type="dxa"/>
              <w:left w:w="15" w:type="dxa"/>
              <w:bottom w:w="0" w:type="dxa"/>
              <w:right w:w="15" w:type="dxa"/>
            </w:tcMar>
            <w:vAlign w:val="center"/>
            <w:hideMark/>
          </w:tcPr>
          <w:p w:rsidR="002C2D5C" w:rsidRPr="00374C95" w:rsidRDefault="002C2D5C" w:rsidP="00C378B2">
            <w:pPr>
              <w:jc w:val="both"/>
              <w:rPr>
                <w:rFonts w:cstheme="minorHAnsi"/>
                <w:sz w:val="18"/>
                <w:szCs w:val="18"/>
              </w:rPr>
            </w:pPr>
            <w:r w:rsidRPr="00374C95">
              <w:rPr>
                <w:rFonts w:cstheme="minorHAnsi"/>
                <w:sz w:val="18"/>
                <w:szCs w:val="18"/>
              </w:rPr>
              <w:t>2 bedrooms</w:t>
            </w:r>
          </w:p>
        </w:tc>
        <w:tc>
          <w:tcPr>
            <w:tcW w:w="819" w:type="pct"/>
            <w:shd w:val="clear" w:color="auto" w:fill="auto"/>
            <w:noWrap/>
            <w:tcMar>
              <w:top w:w="15" w:type="dxa"/>
              <w:left w:w="15" w:type="dxa"/>
              <w:bottom w:w="0" w:type="dxa"/>
              <w:right w:w="15" w:type="dxa"/>
            </w:tcMar>
          </w:tcPr>
          <w:p w:rsidR="002C2D5C" w:rsidRPr="00374C95" w:rsidRDefault="00AD0972" w:rsidP="00C378B2">
            <w:pPr>
              <w:jc w:val="both"/>
              <w:rPr>
                <w:rFonts w:cstheme="minorHAnsi"/>
                <w:sz w:val="18"/>
                <w:szCs w:val="18"/>
              </w:rPr>
            </w:pPr>
            <w:r>
              <w:rPr>
                <w:rFonts w:cstheme="minorHAnsi"/>
                <w:sz w:val="18"/>
                <w:szCs w:val="18"/>
              </w:rPr>
              <w:t>53.8%</w:t>
            </w:r>
          </w:p>
        </w:tc>
        <w:tc>
          <w:tcPr>
            <w:tcW w:w="819" w:type="pct"/>
            <w:shd w:val="clear" w:color="auto" w:fill="auto"/>
            <w:noWrap/>
            <w:tcMar>
              <w:top w:w="15" w:type="dxa"/>
              <w:left w:w="15" w:type="dxa"/>
              <w:bottom w:w="0" w:type="dxa"/>
              <w:right w:w="15" w:type="dxa"/>
            </w:tcMar>
          </w:tcPr>
          <w:p w:rsidR="002C2D5C" w:rsidRPr="00374C95" w:rsidRDefault="00AD0972" w:rsidP="00C378B2">
            <w:pPr>
              <w:jc w:val="both"/>
              <w:rPr>
                <w:rFonts w:cstheme="minorHAnsi"/>
                <w:sz w:val="18"/>
                <w:szCs w:val="18"/>
              </w:rPr>
            </w:pPr>
            <w:r>
              <w:rPr>
                <w:rFonts w:cstheme="minorHAnsi"/>
                <w:sz w:val="18"/>
                <w:szCs w:val="18"/>
              </w:rPr>
              <w:t>35.4%</w:t>
            </w:r>
          </w:p>
        </w:tc>
        <w:tc>
          <w:tcPr>
            <w:tcW w:w="819" w:type="pct"/>
            <w:shd w:val="clear" w:color="auto" w:fill="auto"/>
            <w:noWrap/>
            <w:tcMar>
              <w:top w:w="15" w:type="dxa"/>
              <w:left w:w="15" w:type="dxa"/>
              <w:bottom w:w="0" w:type="dxa"/>
              <w:right w:w="15" w:type="dxa"/>
            </w:tcMar>
          </w:tcPr>
          <w:p w:rsidR="002C2D5C" w:rsidRPr="00374C95" w:rsidRDefault="00AD0972" w:rsidP="00C378B2">
            <w:pPr>
              <w:jc w:val="both"/>
              <w:rPr>
                <w:rFonts w:cstheme="minorHAnsi"/>
                <w:sz w:val="18"/>
                <w:szCs w:val="18"/>
              </w:rPr>
            </w:pPr>
            <w:r>
              <w:rPr>
                <w:rFonts w:cstheme="minorHAnsi"/>
                <w:sz w:val="18"/>
                <w:szCs w:val="18"/>
              </w:rPr>
              <w:t>17.1%</w:t>
            </w:r>
          </w:p>
        </w:tc>
        <w:tc>
          <w:tcPr>
            <w:tcW w:w="819" w:type="pct"/>
            <w:shd w:val="clear" w:color="auto" w:fill="auto"/>
            <w:noWrap/>
            <w:tcMar>
              <w:top w:w="15" w:type="dxa"/>
              <w:left w:w="15" w:type="dxa"/>
              <w:bottom w:w="0" w:type="dxa"/>
              <w:right w:w="15" w:type="dxa"/>
            </w:tcMar>
          </w:tcPr>
          <w:p w:rsidR="002C2D5C" w:rsidRPr="00374C95" w:rsidRDefault="00813D9C" w:rsidP="00C378B2">
            <w:pPr>
              <w:jc w:val="both"/>
              <w:rPr>
                <w:rFonts w:cstheme="minorHAnsi"/>
                <w:sz w:val="18"/>
                <w:szCs w:val="18"/>
              </w:rPr>
            </w:pPr>
            <w:r>
              <w:rPr>
                <w:rFonts w:cstheme="minorHAnsi"/>
                <w:sz w:val="18"/>
                <w:szCs w:val="18"/>
              </w:rPr>
              <w:t>20.1%</w:t>
            </w:r>
          </w:p>
        </w:tc>
        <w:tc>
          <w:tcPr>
            <w:tcW w:w="819" w:type="pct"/>
            <w:shd w:val="clear" w:color="auto" w:fill="auto"/>
            <w:noWrap/>
            <w:tcMar>
              <w:top w:w="15" w:type="dxa"/>
              <w:left w:w="15" w:type="dxa"/>
              <w:bottom w:w="0" w:type="dxa"/>
              <w:right w:w="15" w:type="dxa"/>
            </w:tcMar>
          </w:tcPr>
          <w:p w:rsidR="002C2D5C" w:rsidRPr="00374C95" w:rsidRDefault="00813D9C" w:rsidP="00C378B2">
            <w:pPr>
              <w:jc w:val="both"/>
              <w:rPr>
                <w:rFonts w:cstheme="minorHAnsi"/>
                <w:sz w:val="18"/>
                <w:szCs w:val="18"/>
              </w:rPr>
            </w:pPr>
            <w:r>
              <w:rPr>
                <w:rFonts w:cstheme="minorHAnsi"/>
                <w:sz w:val="18"/>
                <w:szCs w:val="18"/>
              </w:rPr>
              <w:t>32.2%</w:t>
            </w:r>
          </w:p>
        </w:tc>
      </w:tr>
      <w:tr w:rsidR="002C2D5C" w:rsidRPr="00374C95" w:rsidTr="00AD0972">
        <w:trPr>
          <w:trHeight w:val="288"/>
        </w:trPr>
        <w:tc>
          <w:tcPr>
            <w:tcW w:w="905" w:type="pct"/>
            <w:shd w:val="clear" w:color="auto" w:fill="auto"/>
            <w:noWrap/>
            <w:tcMar>
              <w:top w:w="15" w:type="dxa"/>
              <w:left w:w="15" w:type="dxa"/>
              <w:bottom w:w="0" w:type="dxa"/>
              <w:right w:w="15" w:type="dxa"/>
            </w:tcMar>
            <w:vAlign w:val="center"/>
            <w:hideMark/>
          </w:tcPr>
          <w:p w:rsidR="002C2D5C" w:rsidRPr="00374C95" w:rsidRDefault="002C2D5C" w:rsidP="00C378B2">
            <w:pPr>
              <w:jc w:val="both"/>
              <w:rPr>
                <w:rFonts w:cstheme="minorHAnsi"/>
                <w:sz w:val="18"/>
                <w:szCs w:val="18"/>
              </w:rPr>
            </w:pPr>
            <w:r w:rsidRPr="00374C95">
              <w:rPr>
                <w:rFonts w:cstheme="minorHAnsi"/>
                <w:sz w:val="18"/>
                <w:szCs w:val="18"/>
              </w:rPr>
              <w:t>3 bedrooms</w:t>
            </w:r>
          </w:p>
        </w:tc>
        <w:tc>
          <w:tcPr>
            <w:tcW w:w="819" w:type="pct"/>
            <w:shd w:val="clear" w:color="auto" w:fill="auto"/>
            <w:noWrap/>
            <w:tcMar>
              <w:top w:w="15" w:type="dxa"/>
              <w:left w:w="15" w:type="dxa"/>
              <w:bottom w:w="0" w:type="dxa"/>
              <w:right w:w="15" w:type="dxa"/>
            </w:tcMar>
          </w:tcPr>
          <w:p w:rsidR="002C2D5C" w:rsidRPr="00374C95" w:rsidRDefault="00AD0972" w:rsidP="00C378B2">
            <w:pPr>
              <w:jc w:val="both"/>
              <w:rPr>
                <w:rFonts w:cstheme="minorHAnsi"/>
                <w:sz w:val="18"/>
                <w:szCs w:val="18"/>
              </w:rPr>
            </w:pPr>
            <w:r>
              <w:rPr>
                <w:rFonts w:cstheme="minorHAnsi"/>
                <w:sz w:val="18"/>
                <w:szCs w:val="18"/>
              </w:rPr>
              <w:t>22.6%</w:t>
            </w:r>
          </w:p>
        </w:tc>
        <w:tc>
          <w:tcPr>
            <w:tcW w:w="819" w:type="pct"/>
            <w:shd w:val="clear" w:color="auto" w:fill="auto"/>
            <w:noWrap/>
            <w:tcMar>
              <w:top w:w="15" w:type="dxa"/>
              <w:left w:w="15" w:type="dxa"/>
              <w:bottom w:w="0" w:type="dxa"/>
              <w:right w:w="15" w:type="dxa"/>
            </w:tcMar>
          </w:tcPr>
          <w:p w:rsidR="002C2D5C" w:rsidRPr="00374C95" w:rsidRDefault="00AD0972" w:rsidP="00C378B2">
            <w:pPr>
              <w:jc w:val="both"/>
              <w:rPr>
                <w:rFonts w:cstheme="minorHAnsi"/>
                <w:sz w:val="18"/>
                <w:szCs w:val="18"/>
              </w:rPr>
            </w:pPr>
            <w:r>
              <w:rPr>
                <w:rFonts w:cstheme="minorHAnsi"/>
                <w:sz w:val="18"/>
                <w:szCs w:val="18"/>
              </w:rPr>
              <w:t>42.8%</w:t>
            </w:r>
          </w:p>
        </w:tc>
        <w:tc>
          <w:tcPr>
            <w:tcW w:w="819" w:type="pct"/>
            <w:shd w:val="clear" w:color="auto" w:fill="auto"/>
            <w:noWrap/>
            <w:tcMar>
              <w:top w:w="15" w:type="dxa"/>
              <w:left w:w="15" w:type="dxa"/>
              <w:bottom w:w="0" w:type="dxa"/>
              <w:right w:w="15" w:type="dxa"/>
            </w:tcMar>
          </w:tcPr>
          <w:p w:rsidR="002C2D5C" w:rsidRPr="00374C95" w:rsidRDefault="00AD0972" w:rsidP="00C378B2">
            <w:pPr>
              <w:jc w:val="both"/>
              <w:rPr>
                <w:rFonts w:cstheme="minorHAnsi"/>
                <w:sz w:val="18"/>
                <w:szCs w:val="18"/>
              </w:rPr>
            </w:pPr>
            <w:r>
              <w:rPr>
                <w:rFonts w:cstheme="minorHAnsi"/>
                <w:sz w:val="18"/>
                <w:szCs w:val="18"/>
              </w:rPr>
              <w:t>46.4%</w:t>
            </w:r>
          </w:p>
        </w:tc>
        <w:tc>
          <w:tcPr>
            <w:tcW w:w="819" w:type="pct"/>
            <w:shd w:val="clear" w:color="auto" w:fill="auto"/>
            <w:noWrap/>
            <w:tcMar>
              <w:top w:w="15" w:type="dxa"/>
              <w:left w:w="15" w:type="dxa"/>
              <w:bottom w:w="0" w:type="dxa"/>
              <w:right w:w="15" w:type="dxa"/>
            </w:tcMar>
          </w:tcPr>
          <w:p w:rsidR="002C2D5C" w:rsidRPr="00374C95" w:rsidRDefault="00813D9C" w:rsidP="00C378B2">
            <w:pPr>
              <w:jc w:val="both"/>
              <w:rPr>
                <w:rFonts w:cstheme="minorHAnsi"/>
                <w:sz w:val="18"/>
                <w:szCs w:val="18"/>
              </w:rPr>
            </w:pPr>
            <w:r>
              <w:rPr>
                <w:rFonts w:cstheme="minorHAnsi"/>
                <w:sz w:val="18"/>
                <w:szCs w:val="18"/>
              </w:rPr>
              <w:t>46.1%</w:t>
            </w:r>
          </w:p>
        </w:tc>
        <w:tc>
          <w:tcPr>
            <w:tcW w:w="819" w:type="pct"/>
            <w:shd w:val="clear" w:color="auto" w:fill="auto"/>
            <w:noWrap/>
            <w:tcMar>
              <w:top w:w="15" w:type="dxa"/>
              <w:left w:w="15" w:type="dxa"/>
              <w:bottom w:w="0" w:type="dxa"/>
              <w:right w:w="15" w:type="dxa"/>
            </w:tcMar>
          </w:tcPr>
          <w:p w:rsidR="002C2D5C" w:rsidRPr="00374C95" w:rsidRDefault="00813D9C" w:rsidP="00C378B2">
            <w:pPr>
              <w:jc w:val="both"/>
              <w:rPr>
                <w:rFonts w:cstheme="minorHAnsi"/>
                <w:sz w:val="18"/>
                <w:szCs w:val="18"/>
              </w:rPr>
            </w:pPr>
            <w:r>
              <w:rPr>
                <w:rFonts w:cstheme="minorHAnsi"/>
                <w:sz w:val="18"/>
                <w:szCs w:val="18"/>
              </w:rPr>
              <w:t>45.3%</w:t>
            </w:r>
          </w:p>
        </w:tc>
      </w:tr>
      <w:tr w:rsidR="002C2D5C" w:rsidRPr="00374C95" w:rsidTr="00AD0972">
        <w:trPr>
          <w:trHeight w:val="288"/>
        </w:trPr>
        <w:tc>
          <w:tcPr>
            <w:tcW w:w="905" w:type="pct"/>
            <w:shd w:val="clear" w:color="auto" w:fill="auto"/>
            <w:noWrap/>
            <w:tcMar>
              <w:top w:w="15" w:type="dxa"/>
              <w:left w:w="15" w:type="dxa"/>
              <w:bottom w:w="0" w:type="dxa"/>
              <w:right w:w="15" w:type="dxa"/>
            </w:tcMar>
            <w:vAlign w:val="center"/>
            <w:hideMark/>
          </w:tcPr>
          <w:p w:rsidR="002C2D5C" w:rsidRPr="00374C95" w:rsidRDefault="002C2D5C" w:rsidP="00C378B2">
            <w:pPr>
              <w:jc w:val="both"/>
              <w:rPr>
                <w:rFonts w:cstheme="minorHAnsi"/>
                <w:sz w:val="18"/>
                <w:szCs w:val="18"/>
              </w:rPr>
            </w:pPr>
            <w:r w:rsidRPr="00374C95">
              <w:rPr>
                <w:rFonts w:cstheme="minorHAnsi"/>
                <w:sz w:val="18"/>
                <w:szCs w:val="18"/>
              </w:rPr>
              <w:t>4 bedrooms</w:t>
            </w:r>
          </w:p>
        </w:tc>
        <w:tc>
          <w:tcPr>
            <w:tcW w:w="819" w:type="pct"/>
            <w:shd w:val="clear" w:color="auto" w:fill="auto"/>
            <w:noWrap/>
            <w:tcMar>
              <w:top w:w="15" w:type="dxa"/>
              <w:left w:w="15" w:type="dxa"/>
              <w:bottom w:w="0" w:type="dxa"/>
              <w:right w:w="15" w:type="dxa"/>
            </w:tcMar>
          </w:tcPr>
          <w:p w:rsidR="002C2D5C" w:rsidRPr="00374C95" w:rsidRDefault="00AD0972" w:rsidP="00C378B2">
            <w:pPr>
              <w:jc w:val="both"/>
              <w:rPr>
                <w:rFonts w:cstheme="minorHAnsi"/>
                <w:sz w:val="18"/>
                <w:szCs w:val="18"/>
              </w:rPr>
            </w:pPr>
            <w:r>
              <w:rPr>
                <w:rFonts w:cstheme="minorHAnsi"/>
                <w:sz w:val="18"/>
                <w:szCs w:val="18"/>
              </w:rPr>
              <w:t>4.9%</w:t>
            </w:r>
          </w:p>
        </w:tc>
        <w:tc>
          <w:tcPr>
            <w:tcW w:w="819" w:type="pct"/>
            <w:shd w:val="clear" w:color="auto" w:fill="auto"/>
            <w:noWrap/>
            <w:tcMar>
              <w:top w:w="15" w:type="dxa"/>
              <w:left w:w="15" w:type="dxa"/>
              <w:bottom w:w="0" w:type="dxa"/>
              <w:right w:w="15" w:type="dxa"/>
            </w:tcMar>
          </w:tcPr>
          <w:p w:rsidR="002C2D5C" w:rsidRPr="00374C95" w:rsidRDefault="00AD0972" w:rsidP="00C378B2">
            <w:pPr>
              <w:jc w:val="both"/>
              <w:rPr>
                <w:rFonts w:cstheme="minorHAnsi"/>
                <w:sz w:val="18"/>
                <w:szCs w:val="18"/>
              </w:rPr>
            </w:pPr>
            <w:r>
              <w:rPr>
                <w:rFonts w:cstheme="minorHAnsi"/>
                <w:sz w:val="18"/>
                <w:szCs w:val="18"/>
              </w:rPr>
              <w:t>11.4%</w:t>
            </w:r>
          </w:p>
        </w:tc>
        <w:tc>
          <w:tcPr>
            <w:tcW w:w="819" w:type="pct"/>
            <w:shd w:val="clear" w:color="auto" w:fill="auto"/>
            <w:noWrap/>
            <w:tcMar>
              <w:top w:w="15" w:type="dxa"/>
              <w:left w:w="15" w:type="dxa"/>
              <w:bottom w:w="0" w:type="dxa"/>
              <w:right w:w="15" w:type="dxa"/>
            </w:tcMar>
          </w:tcPr>
          <w:p w:rsidR="002C2D5C" w:rsidRPr="00374C95" w:rsidRDefault="00AD0972" w:rsidP="00C378B2">
            <w:pPr>
              <w:jc w:val="both"/>
              <w:rPr>
                <w:rFonts w:cstheme="minorHAnsi"/>
                <w:sz w:val="18"/>
                <w:szCs w:val="18"/>
              </w:rPr>
            </w:pPr>
            <w:r>
              <w:rPr>
                <w:rFonts w:cstheme="minorHAnsi"/>
                <w:sz w:val="18"/>
                <w:szCs w:val="18"/>
              </w:rPr>
              <w:t>26.4%</w:t>
            </w:r>
          </w:p>
        </w:tc>
        <w:tc>
          <w:tcPr>
            <w:tcW w:w="819" w:type="pct"/>
            <w:shd w:val="clear" w:color="auto" w:fill="auto"/>
            <w:noWrap/>
            <w:tcMar>
              <w:top w:w="15" w:type="dxa"/>
              <w:left w:w="15" w:type="dxa"/>
              <w:bottom w:w="0" w:type="dxa"/>
              <w:right w:w="15" w:type="dxa"/>
            </w:tcMar>
          </w:tcPr>
          <w:p w:rsidR="002C2D5C" w:rsidRPr="00374C95" w:rsidRDefault="00813D9C" w:rsidP="00C378B2">
            <w:pPr>
              <w:jc w:val="both"/>
              <w:rPr>
                <w:rFonts w:cstheme="minorHAnsi"/>
                <w:sz w:val="18"/>
                <w:szCs w:val="18"/>
              </w:rPr>
            </w:pPr>
            <w:r>
              <w:rPr>
                <w:rFonts w:cstheme="minorHAnsi"/>
                <w:sz w:val="18"/>
                <w:szCs w:val="18"/>
              </w:rPr>
              <w:t>24.1%</w:t>
            </w:r>
          </w:p>
        </w:tc>
        <w:tc>
          <w:tcPr>
            <w:tcW w:w="819" w:type="pct"/>
            <w:shd w:val="clear" w:color="auto" w:fill="auto"/>
            <w:noWrap/>
            <w:tcMar>
              <w:top w:w="15" w:type="dxa"/>
              <w:left w:w="15" w:type="dxa"/>
              <w:bottom w:w="0" w:type="dxa"/>
              <w:right w:w="15" w:type="dxa"/>
            </w:tcMar>
          </w:tcPr>
          <w:p w:rsidR="002C2D5C" w:rsidRPr="00374C95" w:rsidRDefault="00813D9C" w:rsidP="00C378B2">
            <w:pPr>
              <w:jc w:val="both"/>
              <w:rPr>
                <w:rFonts w:cstheme="minorHAnsi"/>
                <w:sz w:val="18"/>
                <w:szCs w:val="18"/>
              </w:rPr>
            </w:pPr>
            <w:r>
              <w:rPr>
                <w:rFonts w:cstheme="minorHAnsi"/>
                <w:sz w:val="18"/>
                <w:szCs w:val="18"/>
              </w:rPr>
              <w:t>13.5%</w:t>
            </w:r>
          </w:p>
        </w:tc>
      </w:tr>
      <w:tr w:rsidR="002C2D5C" w:rsidRPr="00374C95" w:rsidTr="00AD0972">
        <w:trPr>
          <w:trHeight w:val="288"/>
        </w:trPr>
        <w:tc>
          <w:tcPr>
            <w:tcW w:w="905" w:type="pct"/>
            <w:shd w:val="clear" w:color="auto" w:fill="auto"/>
            <w:noWrap/>
            <w:tcMar>
              <w:top w:w="15" w:type="dxa"/>
              <w:left w:w="15" w:type="dxa"/>
              <w:bottom w:w="0" w:type="dxa"/>
              <w:right w:w="15" w:type="dxa"/>
            </w:tcMar>
            <w:vAlign w:val="center"/>
            <w:hideMark/>
          </w:tcPr>
          <w:p w:rsidR="002C2D5C" w:rsidRPr="00374C95" w:rsidRDefault="002C2D5C" w:rsidP="00C378B2">
            <w:pPr>
              <w:jc w:val="both"/>
              <w:rPr>
                <w:rFonts w:cstheme="minorHAnsi"/>
                <w:sz w:val="18"/>
                <w:szCs w:val="18"/>
              </w:rPr>
            </w:pPr>
            <w:r w:rsidRPr="00374C95">
              <w:rPr>
                <w:rFonts w:cstheme="minorHAnsi"/>
                <w:sz w:val="18"/>
                <w:szCs w:val="18"/>
              </w:rPr>
              <w:t>5+ bedrooms</w:t>
            </w:r>
          </w:p>
        </w:tc>
        <w:tc>
          <w:tcPr>
            <w:tcW w:w="819" w:type="pct"/>
            <w:shd w:val="clear" w:color="auto" w:fill="auto"/>
            <w:noWrap/>
            <w:tcMar>
              <w:top w:w="15" w:type="dxa"/>
              <w:left w:w="15" w:type="dxa"/>
              <w:bottom w:w="0" w:type="dxa"/>
              <w:right w:w="15" w:type="dxa"/>
            </w:tcMar>
          </w:tcPr>
          <w:p w:rsidR="002C2D5C" w:rsidRPr="00374C95" w:rsidRDefault="00AD0972" w:rsidP="00C378B2">
            <w:pPr>
              <w:jc w:val="both"/>
              <w:rPr>
                <w:rFonts w:cstheme="minorHAnsi"/>
                <w:sz w:val="18"/>
                <w:szCs w:val="18"/>
              </w:rPr>
            </w:pPr>
            <w:r>
              <w:rPr>
                <w:rFonts w:cstheme="minorHAnsi"/>
                <w:sz w:val="18"/>
                <w:szCs w:val="18"/>
              </w:rPr>
              <w:t>1.0%</w:t>
            </w:r>
          </w:p>
        </w:tc>
        <w:tc>
          <w:tcPr>
            <w:tcW w:w="819" w:type="pct"/>
            <w:shd w:val="clear" w:color="auto" w:fill="auto"/>
            <w:noWrap/>
            <w:tcMar>
              <w:top w:w="15" w:type="dxa"/>
              <w:left w:w="15" w:type="dxa"/>
              <w:bottom w:w="0" w:type="dxa"/>
              <w:right w:w="15" w:type="dxa"/>
            </w:tcMar>
          </w:tcPr>
          <w:p w:rsidR="002C2D5C" w:rsidRPr="00374C95" w:rsidRDefault="00AD0972" w:rsidP="00C378B2">
            <w:pPr>
              <w:jc w:val="both"/>
              <w:rPr>
                <w:rFonts w:cstheme="minorHAnsi"/>
                <w:sz w:val="18"/>
                <w:szCs w:val="18"/>
              </w:rPr>
            </w:pPr>
            <w:r>
              <w:rPr>
                <w:rFonts w:cstheme="minorHAnsi"/>
                <w:sz w:val="18"/>
                <w:szCs w:val="18"/>
              </w:rPr>
              <w:t>2.3%</w:t>
            </w:r>
          </w:p>
        </w:tc>
        <w:tc>
          <w:tcPr>
            <w:tcW w:w="819" w:type="pct"/>
            <w:shd w:val="clear" w:color="auto" w:fill="auto"/>
            <w:noWrap/>
            <w:tcMar>
              <w:top w:w="15" w:type="dxa"/>
              <w:left w:w="15" w:type="dxa"/>
              <w:bottom w:w="0" w:type="dxa"/>
              <w:right w:w="15" w:type="dxa"/>
            </w:tcMar>
          </w:tcPr>
          <w:p w:rsidR="002C2D5C" w:rsidRPr="00374C95" w:rsidRDefault="00AD0972" w:rsidP="00C378B2">
            <w:pPr>
              <w:jc w:val="both"/>
              <w:rPr>
                <w:rFonts w:cstheme="minorHAnsi"/>
                <w:sz w:val="18"/>
                <w:szCs w:val="18"/>
              </w:rPr>
            </w:pPr>
            <w:r>
              <w:rPr>
                <w:rFonts w:cstheme="minorHAnsi"/>
                <w:sz w:val="18"/>
                <w:szCs w:val="18"/>
              </w:rPr>
              <w:t>6.6%</w:t>
            </w:r>
          </w:p>
        </w:tc>
        <w:tc>
          <w:tcPr>
            <w:tcW w:w="819" w:type="pct"/>
            <w:shd w:val="clear" w:color="auto" w:fill="auto"/>
            <w:noWrap/>
            <w:tcMar>
              <w:top w:w="15" w:type="dxa"/>
              <w:left w:w="15" w:type="dxa"/>
              <w:bottom w:w="0" w:type="dxa"/>
              <w:right w:w="15" w:type="dxa"/>
            </w:tcMar>
          </w:tcPr>
          <w:p w:rsidR="002C2D5C" w:rsidRPr="00374C95" w:rsidRDefault="00813D9C" w:rsidP="00C378B2">
            <w:pPr>
              <w:jc w:val="both"/>
              <w:rPr>
                <w:rFonts w:cstheme="minorHAnsi"/>
                <w:sz w:val="18"/>
                <w:szCs w:val="18"/>
              </w:rPr>
            </w:pPr>
            <w:r>
              <w:rPr>
                <w:rFonts w:cstheme="minorHAnsi"/>
                <w:sz w:val="18"/>
                <w:szCs w:val="18"/>
              </w:rPr>
              <w:t>6.2%</w:t>
            </w:r>
          </w:p>
        </w:tc>
        <w:tc>
          <w:tcPr>
            <w:tcW w:w="819" w:type="pct"/>
            <w:shd w:val="clear" w:color="auto" w:fill="auto"/>
            <w:noWrap/>
            <w:tcMar>
              <w:top w:w="15" w:type="dxa"/>
              <w:left w:w="15" w:type="dxa"/>
              <w:bottom w:w="0" w:type="dxa"/>
              <w:right w:w="15" w:type="dxa"/>
            </w:tcMar>
          </w:tcPr>
          <w:p w:rsidR="002C2D5C" w:rsidRPr="00374C95" w:rsidRDefault="00813D9C" w:rsidP="00C378B2">
            <w:pPr>
              <w:jc w:val="both"/>
              <w:rPr>
                <w:rFonts w:cstheme="minorHAnsi"/>
                <w:sz w:val="18"/>
                <w:szCs w:val="18"/>
              </w:rPr>
            </w:pPr>
            <w:r>
              <w:rPr>
                <w:rFonts w:cstheme="minorHAnsi"/>
                <w:sz w:val="18"/>
                <w:szCs w:val="18"/>
              </w:rPr>
              <w:t>2.8%</w:t>
            </w:r>
          </w:p>
        </w:tc>
      </w:tr>
    </w:tbl>
    <w:p w:rsidR="002C2D5C" w:rsidRPr="00374C95" w:rsidRDefault="002C2D5C" w:rsidP="002C2D5C">
      <w:pPr>
        <w:pStyle w:val="Source"/>
        <w:jc w:val="both"/>
        <w:rPr>
          <w:sz w:val="18"/>
          <w:szCs w:val="18"/>
          <w:lang w:val="en-GB"/>
        </w:rPr>
      </w:pPr>
      <w:r w:rsidRPr="00374C95">
        <w:rPr>
          <w:sz w:val="18"/>
          <w:szCs w:val="18"/>
          <w:lang w:val="en-GB"/>
        </w:rPr>
        <w:t>Source(s): MHCLG 2014-based household projections, ONS 2011, AECOM Calculations</w:t>
      </w:r>
    </w:p>
    <w:p w:rsidR="002C2D5C" w:rsidRDefault="006958B1" w:rsidP="002C2D5C">
      <w:pPr>
        <w:pStyle w:val="ListNumber"/>
        <w:spacing w:before="0"/>
        <w:jc w:val="both"/>
        <w:rPr>
          <w:sz w:val="18"/>
          <w:szCs w:val="18"/>
          <w:lang w:val="en-GB"/>
        </w:rPr>
      </w:pPr>
      <w:r>
        <w:rPr>
          <w:sz w:val="18"/>
          <w:szCs w:val="18"/>
          <w:lang w:val="en-GB"/>
        </w:rPr>
        <w:t>Finally, having established</w:t>
      </w:r>
      <w:r w:rsidR="002C2D5C" w:rsidRPr="006958B1">
        <w:rPr>
          <w:sz w:val="18"/>
          <w:szCs w:val="18"/>
          <w:lang w:val="en-GB"/>
        </w:rPr>
        <w:t xml:space="preserve"> the </w:t>
      </w:r>
      <w:r w:rsidR="00430AD8">
        <w:rPr>
          <w:sz w:val="18"/>
          <w:szCs w:val="18"/>
          <w:lang w:val="en-GB"/>
        </w:rPr>
        <w:t>likelihood</w:t>
      </w:r>
      <w:r w:rsidR="00430AD8" w:rsidRPr="006958B1">
        <w:rPr>
          <w:sz w:val="18"/>
          <w:szCs w:val="18"/>
          <w:lang w:val="en-GB"/>
        </w:rPr>
        <w:t xml:space="preserve"> </w:t>
      </w:r>
      <w:r w:rsidR="002C2D5C" w:rsidRPr="006958B1">
        <w:rPr>
          <w:sz w:val="18"/>
          <w:szCs w:val="18"/>
          <w:lang w:val="en-GB"/>
        </w:rPr>
        <w:t xml:space="preserve">shown by households at different life-stages towards dwellings of different sizes, and the approximate number of households in </w:t>
      </w:r>
      <w:r w:rsidR="00D26226">
        <w:rPr>
          <w:sz w:val="18"/>
          <w:szCs w:val="18"/>
          <w:lang w:val="en-GB"/>
        </w:rPr>
        <w:t>Broadland</w:t>
      </w:r>
      <w:r w:rsidR="002C2D5C" w:rsidRPr="006958B1">
        <w:rPr>
          <w:sz w:val="18"/>
          <w:szCs w:val="18"/>
          <w:lang w:val="en-GB"/>
        </w:rPr>
        <w:t xml:space="preserve"> and </w:t>
      </w:r>
      <w:r w:rsidR="00D26226">
        <w:rPr>
          <w:sz w:val="18"/>
          <w:szCs w:val="18"/>
          <w:lang w:val="en-GB"/>
        </w:rPr>
        <w:t>Reedham</w:t>
      </w:r>
      <w:r w:rsidR="002C2D5C" w:rsidRPr="006958B1">
        <w:rPr>
          <w:sz w:val="18"/>
          <w:szCs w:val="18"/>
          <w:lang w:val="en-GB"/>
        </w:rPr>
        <w:t xml:space="preserve"> falling into each of </w:t>
      </w:r>
      <w:r w:rsidR="00F16F43">
        <w:rPr>
          <w:sz w:val="18"/>
          <w:szCs w:val="18"/>
          <w:lang w:val="en-GB"/>
        </w:rPr>
        <w:t>these stages by the end of the P</w:t>
      </w:r>
      <w:r w:rsidR="002C2D5C" w:rsidRPr="006958B1">
        <w:rPr>
          <w:sz w:val="18"/>
          <w:szCs w:val="18"/>
          <w:lang w:val="en-GB"/>
        </w:rPr>
        <w:t xml:space="preserve">lan period in </w:t>
      </w:r>
      <w:r w:rsidR="00F60AFF">
        <w:rPr>
          <w:sz w:val="18"/>
          <w:szCs w:val="18"/>
          <w:lang w:val="en-GB"/>
        </w:rPr>
        <w:t>2036</w:t>
      </w:r>
      <w:r>
        <w:rPr>
          <w:sz w:val="18"/>
          <w:szCs w:val="18"/>
          <w:lang w:val="en-GB"/>
        </w:rPr>
        <w:t xml:space="preserve">, it is possible to </w:t>
      </w:r>
      <w:r w:rsidR="00430AD8">
        <w:rPr>
          <w:sz w:val="18"/>
          <w:szCs w:val="18"/>
          <w:lang w:val="en-GB"/>
        </w:rPr>
        <w:t xml:space="preserve">estimate </w:t>
      </w:r>
      <w:r w:rsidR="00B44814">
        <w:rPr>
          <w:sz w:val="18"/>
          <w:szCs w:val="18"/>
          <w:lang w:val="en-GB"/>
        </w:rPr>
        <w:t xml:space="preserve">how the housing stock </w:t>
      </w:r>
      <w:r w:rsidR="00430AD8">
        <w:rPr>
          <w:sz w:val="18"/>
          <w:szCs w:val="18"/>
          <w:lang w:val="en-GB"/>
        </w:rPr>
        <w:t>might</w:t>
      </w:r>
      <w:r w:rsidR="00430AD8" w:rsidRPr="006958B1">
        <w:rPr>
          <w:sz w:val="18"/>
          <w:szCs w:val="18"/>
          <w:lang w:val="en-GB"/>
        </w:rPr>
        <w:t xml:space="preserve"> </w:t>
      </w:r>
      <w:r w:rsidR="002C2D5C" w:rsidRPr="006958B1">
        <w:rPr>
          <w:sz w:val="18"/>
          <w:szCs w:val="18"/>
          <w:lang w:val="en-GB"/>
        </w:rPr>
        <w:t xml:space="preserve">evolve in terms of size over the </w:t>
      </w:r>
      <w:r>
        <w:rPr>
          <w:sz w:val="18"/>
          <w:szCs w:val="18"/>
          <w:lang w:val="en-GB"/>
        </w:rPr>
        <w:t xml:space="preserve">Neighbourhood Plan period </w:t>
      </w:r>
      <w:r w:rsidR="00430AD8">
        <w:rPr>
          <w:sz w:val="18"/>
          <w:szCs w:val="18"/>
          <w:lang w:val="en-GB"/>
        </w:rPr>
        <w:t>in response to demographic change</w:t>
      </w:r>
      <w:r w:rsidR="002C2D5C" w:rsidRPr="006958B1">
        <w:rPr>
          <w:sz w:val="18"/>
          <w:szCs w:val="18"/>
          <w:lang w:val="en-GB"/>
        </w:rPr>
        <w:t xml:space="preserve"> (see </w:t>
      </w:r>
      <w:fldSimple w:instr=" REF _Ref2613011 \h  \* MERGEFORMAT ">
        <w:r w:rsidR="00E14AFB" w:rsidRPr="002D4F56">
          <w:rPr>
            <w:sz w:val="18"/>
            <w:szCs w:val="18"/>
          </w:rPr>
          <w:t xml:space="preserve">Table </w:t>
        </w:r>
        <w:r w:rsidR="00E14AFB">
          <w:rPr>
            <w:noProof/>
            <w:sz w:val="18"/>
            <w:szCs w:val="18"/>
          </w:rPr>
          <w:t>6</w:t>
        </w:r>
        <w:r w:rsidR="00E14AFB" w:rsidRPr="002D4F56">
          <w:rPr>
            <w:noProof/>
            <w:sz w:val="18"/>
            <w:szCs w:val="18"/>
          </w:rPr>
          <w:noBreakHyphen/>
        </w:r>
        <w:r w:rsidR="00E14AFB">
          <w:rPr>
            <w:noProof/>
            <w:sz w:val="18"/>
            <w:szCs w:val="18"/>
          </w:rPr>
          <w:t>12</w:t>
        </w:r>
      </w:fldSimple>
      <w:r w:rsidR="002C2D5C" w:rsidRPr="006958B1">
        <w:rPr>
          <w:sz w:val="18"/>
          <w:szCs w:val="18"/>
          <w:lang w:val="en-GB"/>
        </w:rPr>
        <w:t xml:space="preserve"> below). </w:t>
      </w:r>
    </w:p>
    <w:p w:rsidR="006623C9" w:rsidRPr="006958B1" w:rsidRDefault="006623C9" w:rsidP="00BB2201">
      <w:pPr>
        <w:pStyle w:val="ListNumber"/>
        <w:spacing w:before="0"/>
        <w:jc w:val="both"/>
        <w:rPr>
          <w:sz w:val="18"/>
          <w:szCs w:val="18"/>
          <w:lang w:val="en-GB"/>
        </w:rPr>
      </w:pPr>
      <w:bookmarkStart w:id="133" w:name="_Hlk14695299"/>
      <w:r>
        <w:rPr>
          <w:sz w:val="18"/>
          <w:szCs w:val="18"/>
          <w:lang w:val="en-GB"/>
        </w:rPr>
        <w:t xml:space="preserve">The table </w:t>
      </w:r>
      <w:r w:rsidRPr="006623C9">
        <w:rPr>
          <w:sz w:val="18"/>
          <w:szCs w:val="18"/>
          <w:lang w:val="en-GB"/>
        </w:rPr>
        <w:t xml:space="preserve">takes in turn each projected age group in </w:t>
      </w:r>
      <w:r w:rsidR="00631618">
        <w:rPr>
          <w:sz w:val="18"/>
          <w:szCs w:val="18"/>
          <w:lang w:val="en-GB"/>
        </w:rPr>
        <w:t>2036</w:t>
      </w:r>
      <w:r w:rsidRPr="006623C9">
        <w:rPr>
          <w:sz w:val="18"/>
          <w:szCs w:val="18"/>
          <w:lang w:val="en-GB"/>
        </w:rPr>
        <w:t xml:space="preserve">, estimating how many of the households in that age bracket will want or need to occupy each size of dwelling. </w:t>
      </w:r>
      <w:r w:rsidR="00430AD8">
        <w:rPr>
          <w:sz w:val="18"/>
          <w:szCs w:val="18"/>
          <w:lang w:val="en-GB"/>
        </w:rPr>
        <w:t>This is repeated for</w:t>
      </w:r>
      <w:r w:rsidRPr="006623C9">
        <w:rPr>
          <w:sz w:val="18"/>
          <w:szCs w:val="18"/>
          <w:lang w:val="en-GB"/>
        </w:rPr>
        <w:t xml:space="preserve"> each age bracket and add</w:t>
      </w:r>
      <w:r w:rsidR="00430AD8">
        <w:rPr>
          <w:sz w:val="18"/>
          <w:szCs w:val="18"/>
          <w:lang w:val="en-GB"/>
        </w:rPr>
        <w:t>ed</w:t>
      </w:r>
      <w:r w:rsidRPr="006623C9">
        <w:rPr>
          <w:sz w:val="18"/>
          <w:szCs w:val="18"/>
          <w:lang w:val="en-GB"/>
        </w:rPr>
        <w:t xml:space="preserve"> together </w:t>
      </w:r>
      <w:r w:rsidR="00430AD8">
        <w:rPr>
          <w:sz w:val="18"/>
          <w:szCs w:val="18"/>
          <w:lang w:val="en-GB"/>
        </w:rPr>
        <w:t>to</w:t>
      </w:r>
      <w:r w:rsidRPr="006623C9">
        <w:rPr>
          <w:sz w:val="18"/>
          <w:szCs w:val="18"/>
          <w:lang w:val="en-GB"/>
        </w:rPr>
        <w:t xml:space="preserve"> arrive at an estimation of </w:t>
      </w:r>
      <w:r>
        <w:rPr>
          <w:sz w:val="18"/>
          <w:szCs w:val="18"/>
          <w:lang w:val="en-GB"/>
        </w:rPr>
        <w:t xml:space="preserve">what proportion </w:t>
      </w:r>
      <w:r w:rsidRPr="006623C9">
        <w:rPr>
          <w:sz w:val="18"/>
          <w:szCs w:val="18"/>
          <w:lang w:val="en-GB"/>
        </w:rPr>
        <w:t xml:space="preserve">of each size </w:t>
      </w:r>
      <w:r>
        <w:rPr>
          <w:sz w:val="18"/>
          <w:szCs w:val="18"/>
          <w:lang w:val="en-GB"/>
        </w:rPr>
        <w:t xml:space="preserve">of dwelling </w:t>
      </w:r>
      <w:r w:rsidRPr="006623C9">
        <w:rPr>
          <w:sz w:val="18"/>
          <w:szCs w:val="18"/>
          <w:lang w:val="en-GB"/>
        </w:rPr>
        <w:t>will be required</w:t>
      </w:r>
      <w:r>
        <w:rPr>
          <w:sz w:val="18"/>
          <w:szCs w:val="18"/>
          <w:lang w:val="en-GB"/>
        </w:rPr>
        <w:t xml:space="preserve"> overall</w:t>
      </w:r>
      <w:r w:rsidRPr="006623C9">
        <w:rPr>
          <w:sz w:val="18"/>
          <w:szCs w:val="18"/>
          <w:lang w:val="en-GB"/>
        </w:rPr>
        <w:t>.</w:t>
      </w:r>
      <w:r>
        <w:rPr>
          <w:sz w:val="18"/>
          <w:szCs w:val="18"/>
          <w:lang w:val="en-GB"/>
        </w:rPr>
        <w:t xml:space="preserve"> </w:t>
      </w:r>
    </w:p>
    <w:p w:rsidR="002C2D5C" w:rsidRPr="002D4F56" w:rsidRDefault="002C2D5C" w:rsidP="002C2D5C">
      <w:pPr>
        <w:pStyle w:val="Caption"/>
        <w:jc w:val="both"/>
        <w:rPr>
          <w:sz w:val="18"/>
          <w:szCs w:val="18"/>
        </w:rPr>
      </w:pPr>
      <w:bookmarkStart w:id="134" w:name="_Ref2613011"/>
      <w:bookmarkEnd w:id="133"/>
      <w:r w:rsidRPr="002D4F56">
        <w:rPr>
          <w:sz w:val="18"/>
          <w:szCs w:val="18"/>
        </w:rPr>
        <w:t xml:space="preserve">Table </w:t>
      </w:r>
      <w:r w:rsidR="001A69AC" w:rsidRPr="002D4F56">
        <w:rPr>
          <w:noProof/>
          <w:sz w:val="18"/>
          <w:szCs w:val="18"/>
        </w:rPr>
        <w:fldChar w:fldCharType="begin"/>
      </w:r>
      <w:r w:rsidRPr="002D4F56">
        <w:rPr>
          <w:noProof/>
          <w:sz w:val="18"/>
          <w:szCs w:val="18"/>
        </w:rPr>
        <w:instrText xml:space="preserve"> STYLEREF 1 \s </w:instrText>
      </w:r>
      <w:r w:rsidR="001A69AC" w:rsidRPr="002D4F56">
        <w:rPr>
          <w:noProof/>
          <w:sz w:val="18"/>
          <w:szCs w:val="18"/>
        </w:rPr>
        <w:fldChar w:fldCharType="separate"/>
      </w:r>
      <w:r w:rsidR="00E14AFB">
        <w:rPr>
          <w:noProof/>
          <w:sz w:val="18"/>
          <w:szCs w:val="18"/>
        </w:rPr>
        <w:t>6</w:t>
      </w:r>
      <w:r w:rsidR="001A69AC" w:rsidRPr="002D4F56">
        <w:rPr>
          <w:noProof/>
          <w:sz w:val="18"/>
          <w:szCs w:val="18"/>
        </w:rPr>
        <w:fldChar w:fldCharType="end"/>
      </w:r>
      <w:r w:rsidRPr="002D4F56">
        <w:rPr>
          <w:sz w:val="18"/>
          <w:szCs w:val="18"/>
        </w:rPr>
        <w:noBreakHyphen/>
      </w:r>
      <w:r w:rsidR="001A69AC" w:rsidRPr="002D4F56">
        <w:rPr>
          <w:noProof/>
          <w:sz w:val="18"/>
          <w:szCs w:val="18"/>
        </w:rPr>
        <w:fldChar w:fldCharType="begin"/>
      </w:r>
      <w:r w:rsidRPr="002D4F56">
        <w:rPr>
          <w:noProof/>
          <w:sz w:val="18"/>
          <w:szCs w:val="18"/>
        </w:rPr>
        <w:instrText xml:space="preserve"> SEQ Table \* ARABIC \s 1 </w:instrText>
      </w:r>
      <w:r w:rsidR="001A69AC" w:rsidRPr="002D4F56">
        <w:rPr>
          <w:noProof/>
          <w:sz w:val="18"/>
          <w:szCs w:val="18"/>
        </w:rPr>
        <w:fldChar w:fldCharType="separate"/>
      </w:r>
      <w:r w:rsidR="00E14AFB">
        <w:rPr>
          <w:noProof/>
          <w:sz w:val="18"/>
          <w:szCs w:val="18"/>
        </w:rPr>
        <w:t>12</w:t>
      </w:r>
      <w:r w:rsidR="001A69AC" w:rsidRPr="002D4F56">
        <w:rPr>
          <w:noProof/>
          <w:sz w:val="18"/>
          <w:szCs w:val="18"/>
        </w:rPr>
        <w:fldChar w:fldCharType="end"/>
      </w:r>
      <w:bookmarkEnd w:id="134"/>
      <w:r w:rsidRPr="002D4F56">
        <w:rPr>
          <w:sz w:val="18"/>
          <w:szCs w:val="18"/>
        </w:rPr>
        <w:t xml:space="preserve">: </w:t>
      </w:r>
      <w:r w:rsidR="00430AD8">
        <w:rPr>
          <w:sz w:val="18"/>
          <w:szCs w:val="18"/>
        </w:rPr>
        <w:t>Likely</w:t>
      </w:r>
      <w:r w:rsidR="00430AD8" w:rsidRPr="002D4F56">
        <w:rPr>
          <w:sz w:val="18"/>
          <w:szCs w:val="18"/>
        </w:rPr>
        <w:t xml:space="preserve"> </w:t>
      </w:r>
      <w:r w:rsidR="00AC0E8A" w:rsidRPr="002D4F56">
        <w:rPr>
          <w:sz w:val="18"/>
          <w:szCs w:val="18"/>
        </w:rPr>
        <w:t xml:space="preserve">dwelling </w:t>
      </w:r>
      <w:r w:rsidRPr="002D4F56">
        <w:rPr>
          <w:sz w:val="18"/>
          <w:szCs w:val="18"/>
        </w:rPr>
        <w:t xml:space="preserve">size distribution in </w:t>
      </w:r>
      <w:r w:rsidR="00D26226">
        <w:rPr>
          <w:sz w:val="18"/>
          <w:szCs w:val="18"/>
        </w:rPr>
        <w:t>Reedham</w:t>
      </w:r>
      <w:r w:rsidR="00AC0E8A" w:rsidRPr="002D4F56">
        <w:rPr>
          <w:sz w:val="18"/>
          <w:szCs w:val="18"/>
        </w:rPr>
        <w:t xml:space="preserve"> by</w:t>
      </w:r>
      <w:r w:rsidR="00F16F43">
        <w:rPr>
          <w:sz w:val="18"/>
          <w:szCs w:val="18"/>
        </w:rPr>
        <w:t xml:space="preserve"> the end of the P</w:t>
      </w:r>
      <w:r w:rsidRPr="002D4F56">
        <w:rPr>
          <w:sz w:val="18"/>
          <w:szCs w:val="18"/>
        </w:rPr>
        <w:t>lan period</w:t>
      </w:r>
      <w:r w:rsidR="002D4F56">
        <w:rPr>
          <w:sz w:val="18"/>
          <w:szCs w:val="18"/>
        </w:rPr>
        <w:t>,</w:t>
      </w:r>
      <w:r w:rsidR="00AC0E8A" w:rsidRPr="002D4F56">
        <w:rPr>
          <w:sz w:val="18"/>
          <w:szCs w:val="18"/>
        </w:rPr>
        <w:t xml:space="preserve"> based on</w:t>
      </w:r>
      <w:r w:rsidRPr="002D4F56">
        <w:rPr>
          <w:sz w:val="18"/>
          <w:szCs w:val="18"/>
        </w:rPr>
        <w:t xml:space="preserve"> </w:t>
      </w:r>
      <w:r w:rsidR="00AC0E8A" w:rsidRPr="002D4F56">
        <w:rPr>
          <w:sz w:val="18"/>
          <w:szCs w:val="18"/>
        </w:rPr>
        <w:t xml:space="preserve">modelled </w:t>
      </w:r>
      <w:r w:rsidRPr="002D4F56">
        <w:rPr>
          <w:sz w:val="18"/>
          <w:szCs w:val="18"/>
        </w:rPr>
        <w:t>household life-stages</w:t>
      </w:r>
      <w:r w:rsidR="006623C9">
        <w:rPr>
          <w:sz w:val="18"/>
          <w:szCs w:val="18"/>
        </w:rPr>
        <w:t xml:space="preserve"> (totals may not sum due to rounding)</w:t>
      </w:r>
    </w:p>
    <w:tbl>
      <w:tblPr>
        <w:tblW w:w="4791"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93"/>
        <w:gridCol w:w="1372"/>
        <w:gridCol w:w="1372"/>
        <w:gridCol w:w="1376"/>
        <w:gridCol w:w="1372"/>
        <w:gridCol w:w="1372"/>
        <w:gridCol w:w="1373"/>
      </w:tblGrid>
      <w:tr w:rsidR="002C2D5C" w:rsidRPr="00374C95" w:rsidTr="00C378B2">
        <w:trPr>
          <w:trHeight w:val="288"/>
        </w:trPr>
        <w:tc>
          <w:tcPr>
            <w:tcW w:w="723" w:type="pct"/>
            <w:shd w:val="clear" w:color="auto" w:fill="000000" w:themeFill="text1"/>
            <w:noWrap/>
            <w:vAlign w:val="center"/>
          </w:tcPr>
          <w:p w:rsidR="002C2D5C" w:rsidRPr="00374C95" w:rsidRDefault="002C2D5C" w:rsidP="00C378B2">
            <w:pPr>
              <w:spacing w:line="240" w:lineRule="auto"/>
              <w:jc w:val="both"/>
              <w:rPr>
                <w:rFonts w:cstheme="minorHAnsi"/>
                <w:b/>
                <w:color w:val="FFFFFF" w:themeColor="background1"/>
                <w:sz w:val="18"/>
                <w:szCs w:val="18"/>
              </w:rPr>
            </w:pPr>
            <w:r w:rsidRPr="00374C95">
              <w:rPr>
                <w:rFonts w:cstheme="minorHAnsi"/>
                <w:b/>
                <w:color w:val="FFFFFF" w:themeColor="background1"/>
                <w:sz w:val="18"/>
                <w:szCs w:val="18"/>
              </w:rPr>
              <w:t>Size</w:t>
            </w:r>
          </w:p>
        </w:tc>
        <w:tc>
          <w:tcPr>
            <w:tcW w:w="712" w:type="pct"/>
            <w:shd w:val="clear" w:color="auto" w:fill="000000" w:themeFill="text1"/>
            <w:noWrap/>
            <w:vAlign w:val="center"/>
          </w:tcPr>
          <w:p w:rsidR="002C2D5C" w:rsidRPr="00374C95" w:rsidRDefault="002C2D5C" w:rsidP="00C378B2">
            <w:pPr>
              <w:spacing w:line="240" w:lineRule="auto"/>
              <w:jc w:val="both"/>
              <w:rPr>
                <w:rFonts w:cstheme="minorHAnsi"/>
                <w:b/>
                <w:color w:val="FFFFFF" w:themeColor="background1"/>
                <w:sz w:val="18"/>
                <w:szCs w:val="18"/>
              </w:rPr>
            </w:pPr>
            <w:r w:rsidRPr="00374C95">
              <w:rPr>
                <w:b/>
                <w:color w:val="FFFFFF" w:themeColor="background1"/>
                <w:sz w:val="18"/>
                <w:szCs w:val="18"/>
              </w:rPr>
              <w:t>Age of HRP 16 to 24</w:t>
            </w:r>
          </w:p>
        </w:tc>
        <w:tc>
          <w:tcPr>
            <w:tcW w:w="712" w:type="pct"/>
            <w:shd w:val="clear" w:color="auto" w:fill="000000" w:themeFill="text1"/>
            <w:noWrap/>
            <w:vAlign w:val="center"/>
          </w:tcPr>
          <w:p w:rsidR="002C2D5C" w:rsidRPr="00374C95" w:rsidRDefault="002C2D5C" w:rsidP="00C378B2">
            <w:pPr>
              <w:spacing w:line="240" w:lineRule="auto"/>
              <w:jc w:val="both"/>
              <w:rPr>
                <w:rFonts w:cstheme="minorHAnsi"/>
                <w:b/>
                <w:color w:val="FFFFFF" w:themeColor="background1"/>
                <w:sz w:val="18"/>
                <w:szCs w:val="18"/>
              </w:rPr>
            </w:pPr>
            <w:r w:rsidRPr="00374C95">
              <w:rPr>
                <w:b/>
                <w:color w:val="FFFFFF" w:themeColor="background1"/>
                <w:sz w:val="18"/>
                <w:szCs w:val="18"/>
              </w:rPr>
              <w:t>Age of HRP under 35</w:t>
            </w:r>
          </w:p>
        </w:tc>
        <w:tc>
          <w:tcPr>
            <w:tcW w:w="714" w:type="pct"/>
            <w:shd w:val="clear" w:color="auto" w:fill="000000" w:themeFill="text1"/>
            <w:noWrap/>
            <w:vAlign w:val="center"/>
          </w:tcPr>
          <w:p w:rsidR="002C2D5C" w:rsidRPr="00374C95" w:rsidRDefault="002C2D5C" w:rsidP="00C378B2">
            <w:pPr>
              <w:spacing w:line="240" w:lineRule="auto"/>
              <w:jc w:val="both"/>
              <w:rPr>
                <w:rFonts w:cstheme="minorHAnsi"/>
                <w:b/>
                <w:color w:val="FFFFFF" w:themeColor="background1"/>
                <w:sz w:val="18"/>
                <w:szCs w:val="18"/>
              </w:rPr>
            </w:pPr>
            <w:r w:rsidRPr="00374C95">
              <w:rPr>
                <w:b/>
                <w:color w:val="FFFFFF" w:themeColor="background1"/>
                <w:sz w:val="18"/>
                <w:szCs w:val="18"/>
              </w:rPr>
              <w:t>Age of HRP 35 to 54</w:t>
            </w:r>
          </w:p>
        </w:tc>
        <w:tc>
          <w:tcPr>
            <w:tcW w:w="712" w:type="pct"/>
            <w:shd w:val="clear" w:color="auto" w:fill="000000" w:themeFill="text1"/>
            <w:noWrap/>
            <w:vAlign w:val="center"/>
          </w:tcPr>
          <w:p w:rsidR="002C2D5C" w:rsidRPr="00374C95" w:rsidRDefault="002C2D5C" w:rsidP="00C378B2">
            <w:pPr>
              <w:spacing w:line="240" w:lineRule="auto"/>
              <w:jc w:val="both"/>
              <w:rPr>
                <w:rFonts w:cstheme="minorHAnsi"/>
                <w:b/>
                <w:color w:val="FFFFFF" w:themeColor="background1"/>
                <w:sz w:val="18"/>
                <w:szCs w:val="18"/>
              </w:rPr>
            </w:pPr>
            <w:r w:rsidRPr="00374C95">
              <w:rPr>
                <w:b/>
                <w:color w:val="FFFFFF" w:themeColor="background1"/>
                <w:sz w:val="18"/>
                <w:szCs w:val="18"/>
              </w:rPr>
              <w:t>Age of HRP 55 to 64</w:t>
            </w:r>
          </w:p>
        </w:tc>
        <w:tc>
          <w:tcPr>
            <w:tcW w:w="712" w:type="pct"/>
            <w:shd w:val="clear" w:color="auto" w:fill="000000" w:themeFill="text1"/>
            <w:noWrap/>
            <w:vAlign w:val="center"/>
          </w:tcPr>
          <w:p w:rsidR="002C2D5C" w:rsidRPr="00374C95" w:rsidRDefault="002C2D5C" w:rsidP="00C378B2">
            <w:pPr>
              <w:spacing w:line="240" w:lineRule="auto"/>
              <w:jc w:val="both"/>
              <w:rPr>
                <w:rFonts w:cstheme="minorHAnsi"/>
                <w:b/>
                <w:color w:val="FFFFFF" w:themeColor="background1"/>
                <w:sz w:val="18"/>
                <w:szCs w:val="18"/>
              </w:rPr>
            </w:pPr>
            <w:r w:rsidRPr="00374C95">
              <w:rPr>
                <w:b/>
                <w:color w:val="FFFFFF" w:themeColor="background1"/>
                <w:sz w:val="18"/>
                <w:szCs w:val="18"/>
              </w:rPr>
              <w:t>Age of HRP 65 and over</w:t>
            </w:r>
          </w:p>
        </w:tc>
        <w:tc>
          <w:tcPr>
            <w:tcW w:w="713" w:type="pct"/>
            <w:shd w:val="clear" w:color="auto" w:fill="000000" w:themeFill="text1"/>
            <w:noWrap/>
            <w:vAlign w:val="center"/>
          </w:tcPr>
          <w:p w:rsidR="002C2D5C" w:rsidRPr="00374C95" w:rsidRDefault="002C2D5C" w:rsidP="00C378B2">
            <w:pPr>
              <w:spacing w:line="240" w:lineRule="auto"/>
              <w:jc w:val="both"/>
              <w:rPr>
                <w:rFonts w:cstheme="minorHAnsi"/>
                <w:b/>
                <w:color w:val="FFFFFF" w:themeColor="background1"/>
                <w:sz w:val="18"/>
                <w:szCs w:val="18"/>
              </w:rPr>
            </w:pPr>
            <w:r w:rsidRPr="00374C95">
              <w:rPr>
                <w:b/>
                <w:color w:val="FFFFFF" w:themeColor="background1"/>
                <w:sz w:val="18"/>
                <w:szCs w:val="18"/>
              </w:rPr>
              <w:t>Total households requiring  dwelling sizes</w:t>
            </w:r>
          </w:p>
        </w:tc>
      </w:tr>
      <w:tr w:rsidR="002C2D5C" w:rsidRPr="00374C95" w:rsidTr="008E4F8A">
        <w:trPr>
          <w:trHeight w:val="288"/>
        </w:trPr>
        <w:tc>
          <w:tcPr>
            <w:tcW w:w="723" w:type="pct"/>
            <w:shd w:val="clear" w:color="auto" w:fill="auto"/>
            <w:noWrap/>
            <w:hideMark/>
          </w:tcPr>
          <w:p w:rsidR="002C2D5C" w:rsidRPr="00374C95" w:rsidRDefault="006623C9" w:rsidP="00C378B2">
            <w:pPr>
              <w:spacing w:line="240" w:lineRule="auto"/>
              <w:jc w:val="both"/>
              <w:rPr>
                <w:rFonts w:cstheme="minorHAnsi"/>
                <w:sz w:val="18"/>
                <w:szCs w:val="18"/>
              </w:rPr>
            </w:pPr>
            <w:r>
              <w:rPr>
                <w:sz w:val="18"/>
                <w:szCs w:val="18"/>
              </w:rPr>
              <w:t>Households</w:t>
            </w:r>
            <w:r w:rsidR="002C2D5C" w:rsidRPr="00374C95">
              <w:rPr>
                <w:sz w:val="18"/>
                <w:szCs w:val="18"/>
              </w:rPr>
              <w:t xml:space="preserve"> </w:t>
            </w:r>
            <w:r w:rsidR="00F60AFF">
              <w:rPr>
                <w:sz w:val="18"/>
                <w:szCs w:val="18"/>
              </w:rPr>
              <w:t>(550)</w:t>
            </w:r>
          </w:p>
        </w:tc>
        <w:tc>
          <w:tcPr>
            <w:tcW w:w="712" w:type="pct"/>
            <w:shd w:val="clear" w:color="auto" w:fill="auto"/>
            <w:noWrap/>
          </w:tcPr>
          <w:p w:rsidR="002C2D5C" w:rsidRPr="00374C95" w:rsidRDefault="008E4F8A" w:rsidP="00C378B2">
            <w:pPr>
              <w:spacing w:line="240" w:lineRule="auto"/>
              <w:jc w:val="both"/>
              <w:rPr>
                <w:rFonts w:cstheme="minorHAnsi"/>
                <w:sz w:val="18"/>
                <w:szCs w:val="18"/>
              </w:rPr>
            </w:pPr>
            <w:r>
              <w:rPr>
                <w:rFonts w:cstheme="minorHAnsi"/>
                <w:sz w:val="18"/>
                <w:szCs w:val="18"/>
              </w:rPr>
              <w:t>21</w:t>
            </w:r>
          </w:p>
        </w:tc>
        <w:tc>
          <w:tcPr>
            <w:tcW w:w="712" w:type="pct"/>
            <w:shd w:val="clear" w:color="auto" w:fill="auto"/>
            <w:noWrap/>
          </w:tcPr>
          <w:p w:rsidR="002C2D5C" w:rsidRPr="00374C95" w:rsidRDefault="008E4F8A" w:rsidP="00C378B2">
            <w:pPr>
              <w:spacing w:line="240" w:lineRule="auto"/>
              <w:jc w:val="both"/>
              <w:rPr>
                <w:rFonts w:cstheme="minorHAnsi"/>
                <w:sz w:val="18"/>
                <w:szCs w:val="18"/>
              </w:rPr>
            </w:pPr>
            <w:r>
              <w:rPr>
                <w:rFonts w:cstheme="minorHAnsi"/>
                <w:sz w:val="18"/>
                <w:szCs w:val="18"/>
              </w:rPr>
              <w:t>43</w:t>
            </w:r>
          </w:p>
        </w:tc>
        <w:tc>
          <w:tcPr>
            <w:tcW w:w="714" w:type="pct"/>
            <w:shd w:val="clear" w:color="auto" w:fill="auto"/>
            <w:noWrap/>
          </w:tcPr>
          <w:p w:rsidR="002C2D5C" w:rsidRPr="00374C95" w:rsidRDefault="008E4F8A" w:rsidP="00C378B2">
            <w:pPr>
              <w:spacing w:line="240" w:lineRule="auto"/>
              <w:jc w:val="both"/>
              <w:rPr>
                <w:rFonts w:cstheme="minorHAnsi"/>
                <w:sz w:val="18"/>
                <w:szCs w:val="18"/>
              </w:rPr>
            </w:pPr>
            <w:r>
              <w:rPr>
                <w:rFonts w:cstheme="minorHAnsi"/>
                <w:sz w:val="18"/>
                <w:szCs w:val="18"/>
              </w:rPr>
              <w:t>155</w:t>
            </w:r>
          </w:p>
        </w:tc>
        <w:tc>
          <w:tcPr>
            <w:tcW w:w="712" w:type="pct"/>
            <w:shd w:val="clear" w:color="auto" w:fill="auto"/>
            <w:noWrap/>
          </w:tcPr>
          <w:p w:rsidR="002C2D5C" w:rsidRPr="00374C95" w:rsidRDefault="008E4F8A" w:rsidP="00C378B2">
            <w:pPr>
              <w:spacing w:line="240" w:lineRule="auto"/>
              <w:jc w:val="both"/>
              <w:rPr>
                <w:rFonts w:cstheme="minorHAnsi"/>
                <w:sz w:val="18"/>
                <w:szCs w:val="18"/>
              </w:rPr>
            </w:pPr>
            <w:r>
              <w:rPr>
                <w:rFonts w:cstheme="minorHAnsi"/>
                <w:sz w:val="18"/>
                <w:szCs w:val="18"/>
              </w:rPr>
              <w:t>107</w:t>
            </w:r>
          </w:p>
        </w:tc>
        <w:tc>
          <w:tcPr>
            <w:tcW w:w="712" w:type="pct"/>
            <w:shd w:val="clear" w:color="auto" w:fill="auto"/>
            <w:noWrap/>
          </w:tcPr>
          <w:p w:rsidR="002C2D5C" w:rsidRPr="00374C95" w:rsidRDefault="008E4F8A" w:rsidP="00C378B2">
            <w:pPr>
              <w:spacing w:line="240" w:lineRule="auto"/>
              <w:jc w:val="both"/>
              <w:rPr>
                <w:rFonts w:cstheme="minorHAnsi"/>
                <w:sz w:val="18"/>
                <w:szCs w:val="18"/>
              </w:rPr>
            </w:pPr>
            <w:r>
              <w:rPr>
                <w:rFonts w:cstheme="minorHAnsi"/>
                <w:sz w:val="18"/>
                <w:szCs w:val="18"/>
              </w:rPr>
              <w:t>254</w:t>
            </w:r>
          </w:p>
        </w:tc>
        <w:tc>
          <w:tcPr>
            <w:tcW w:w="713" w:type="pct"/>
            <w:shd w:val="clear" w:color="auto" w:fill="auto"/>
            <w:noWrap/>
          </w:tcPr>
          <w:p w:rsidR="002C2D5C" w:rsidRPr="00374C95" w:rsidRDefault="008E4F8A" w:rsidP="00C378B2">
            <w:pPr>
              <w:spacing w:line="240" w:lineRule="auto"/>
              <w:jc w:val="both"/>
              <w:rPr>
                <w:rFonts w:cstheme="minorHAnsi"/>
                <w:b/>
                <w:sz w:val="18"/>
                <w:szCs w:val="18"/>
              </w:rPr>
            </w:pPr>
            <w:r>
              <w:rPr>
                <w:rFonts w:cstheme="minorHAnsi"/>
                <w:b/>
                <w:sz w:val="18"/>
                <w:szCs w:val="18"/>
              </w:rPr>
              <w:t>-</w:t>
            </w:r>
          </w:p>
        </w:tc>
      </w:tr>
      <w:tr w:rsidR="002C2D5C" w:rsidRPr="00374C95" w:rsidTr="008E4F8A">
        <w:trPr>
          <w:trHeight w:val="288"/>
        </w:trPr>
        <w:tc>
          <w:tcPr>
            <w:tcW w:w="723" w:type="pct"/>
            <w:shd w:val="clear" w:color="auto" w:fill="auto"/>
            <w:noWrap/>
            <w:hideMark/>
          </w:tcPr>
          <w:p w:rsidR="002C2D5C" w:rsidRPr="00374C95" w:rsidRDefault="002C2D5C" w:rsidP="00C378B2">
            <w:pPr>
              <w:spacing w:line="240" w:lineRule="auto"/>
              <w:jc w:val="both"/>
              <w:rPr>
                <w:rFonts w:cstheme="minorHAnsi"/>
                <w:sz w:val="18"/>
                <w:szCs w:val="18"/>
              </w:rPr>
            </w:pPr>
            <w:r w:rsidRPr="00374C95">
              <w:rPr>
                <w:sz w:val="18"/>
                <w:szCs w:val="18"/>
              </w:rPr>
              <w:t>1 bedroom</w:t>
            </w:r>
          </w:p>
        </w:tc>
        <w:tc>
          <w:tcPr>
            <w:tcW w:w="712" w:type="pct"/>
            <w:shd w:val="clear" w:color="auto" w:fill="auto"/>
            <w:noWrap/>
          </w:tcPr>
          <w:p w:rsidR="002C2D5C" w:rsidRPr="00374C95" w:rsidRDefault="008E4F8A" w:rsidP="00C378B2">
            <w:pPr>
              <w:spacing w:line="240" w:lineRule="auto"/>
              <w:jc w:val="both"/>
              <w:rPr>
                <w:rFonts w:cstheme="minorHAnsi"/>
                <w:sz w:val="18"/>
                <w:szCs w:val="18"/>
              </w:rPr>
            </w:pPr>
            <w:r>
              <w:rPr>
                <w:rFonts w:cstheme="minorHAnsi"/>
                <w:sz w:val="18"/>
                <w:szCs w:val="18"/>
              </w:rPr>
              <w:t>4</w:t>
            </w:r>
          </w:p>
        </w:tc>
        <w:tc>
          <w:tcPr>
            <w:tcW w:w="712" w:type="pct"/>
            <w:shd w:val="clear" w:color="auto" w:fill="auto"/>
            <w:noWrap/>
          </w:tcPr>
          <w:p w:rsidR="002C2D5C" w:rsidRPr="00374C95" w:rsidRDefault="008E4F8A" w:rsidP="00C378B2">
            <w:pPr>
              <w:spacing w:line="240" w:lineRule="auto"/>
              <w:jc w:val="both"/>
              <w:rPr>
                <w:rFonts w:cstheme="minorHAnsi"/>
                <w:sz w:val="18"/>
                <w:szCs w:val="18"/>
              </w:rPr>
            </w:pPr>
            <w:r>
              <w:rPr>
                <w:rFonts w:cstheme="minorHAnsi"/>
                <w:sz w:val="18"/>
                <w:szCs w:val="18"/>
              </w:rPr>
              <w:t>3</w:t>
            </w:r>
          </w:p>
        </w:tc>
        <w:tc>
          <w:tcPr>
            <w:tcW w:w="714" w:type="pct"/>
            <w:shd w:val="clear" w:color="auto" w:fill="auto"/>
            <w:noWrap/>
          </w:tcPr>
          <w:p w:rsidR="002C2D5C" w:rsidRPr="00374C95" w:rsidRDefault="008E4F8A" w:rsidP="00C378B2">
            <w:pPr>
              <w:spacing w:line="240" w:lineRule="auto"/>
              <w:jc w:val="both"/>
              <w:rPr>
                <w:rFonts w:cstheme="minorHAnsi"/>
                <w:sz w:val="18"/>
                <w:szCs w:val="18"/>
              </w:rPr>
            </w:pPr>
            <w:r>
              <w:rPr>
                <w:rFonts w:cstheme="minorHAnsi"/>
                <w:sz w:val="18"/>
                <w:szCs w:val="18"/>
              </w:rPr>
              <w:t>5</w:t>
            </w:r>
          </w:p>
        </w:tc>
        <w:tc>
          <w:tcPr>
            <w:tcW w:w="712" w:type="pct"/>
            <w:shd w:val="clear" w:color="auto" w:fill="auto"/>
            <w:noWrap/>
          </w:tcPr>
          <w:p w:rsidR="002C2D5C" w:rsidRPr="00374C95" w:rsidRDefault="008E4F8A" w:rsidP="00C378B2">
            <w:pPr>
              <w:spacing w:line="240" w:lineRule="auto"/>
              <w:jc w:val="both"/>
              <w:rPr>
                <w:rFonts w:cstheme="minorHAnsi"/>
                <w:sz w:val="18"/>
                <w:szCs w:val="18"/>
              </w:rPr>
            </w:pPr>
            <w:r>
              <w:rPr>
                <w:rFonts w:cstheme="minorHAnsi"/>
                <w:sz w:val="18"/>
                <w:szCs w:val="18"/>
              </w:rPr>
              <w:t>4</w:t>
            </w:r>
          </w:p>
        </w:tc>
        <w:tc>
          <w:tcPr>
            <w:tcW w:w="712" w:type="pct"/>
            <w:shd w:val="clear" w:color="auto" w:fill="auto"/>
            <w:noWrap/>
          </w:tcPr>
          <w:p w:rsidR="002C2D5C" w:rsidRPr="00374C95" w:rsidRDefault="008E4F8A" w:rsidP="00C378B2">
            <w:pPr>
              <w:spacing w:line="240" w:lineRule="auto"/>
              <w:jc w:val="both"/>
              <w:rPr>
                <w:rFonts w:cstheme="minorHAnsi"/>
                <w:sz w:val="18"/>
                <w:szCs w:val="18"/>
              </w:rPr>
            </w:pPr>
            <w:r>
              <w:rPr>
                <w:rFonts w:cstheme="minorHAnsi"/>
                <w:sz w:val="18"/>
                <w:szCs w:val="18"/>
              </w:rPr>
              <w:t>16</w:t>
            </w:r>
          </w:p>
        </w:tc>
        <w:tc>
          <w:tcPr>
            <w:tcW w:w="713" w:type="pct"/>
            <w:shd w:val="clear" w:color="auto" w:fill="auto"/>
            <w:noWrap/>
          </w:tcPr>
          <w:p w:rsidR="002C2D5C" w:rsidRPr="00374C95" w:rsidRDefault="008E4F8A" w:rsidP="00C378B2">
            <w:pPr>
              <w:spacing w:line="240" w:lineRule="auto"/>
              <w:jc w:val="both"/>
              <w:rPr>
                <w:rFonts w:cstheme="minorHAnsi"/>
                <w:b/>
                <w:sz w:val="18"/>
                <w:szCs w:val="18"/>
              </w:rPr>
            </w:pPr>
            <w:r>
              <w:rPr>
                <w:rFonts w:cstheme="minorHAnsi"/>
                <w:b/>
                <w:sz w:val="18"/>
                <w:szCs w:val="18"/>
              </w:rPr>
              <w:t>32</w:t>
            </w:r>
          </w:p>
        </w:tc>
      </w:tr>
      <w:tr w:rsidR="002C2D5C" w:rsidRPr="00374C95" w:rsidTr="008E4F8A">
        <w:trPr>
          <w:trHeight w:val="288"/>
        </w:trPr>
        <w:tc>
          <w:tcPr>
            <w:tcW w:w="723" w:type="pct"/>
            <w:shd w:val="clear" w:color="auto" w:fill="auto"/>
            <w:noWrap/>
            <w:hideMark/>
          </w:tcPr>
          <w:p w:rsidR="002C2D5C" w:rsidRPr="00374C95" w:rsidRDefault="002C2D5C" w:rsidP="00C378B2">
            <w:pPr>
              <w:spacing w:line="240" w:lineRule="auto"/>
              <w:jc w:val="both"/>
              <w:rPr>
                <w:rFonts w:cstheme="minorHAnsi"/>
                <w:sz w:val="18"/>
                <w:szCs w:val="18"/>
              </w:rPr>
            </w:pPr>
            <w:r w:rsidRPr="00374C95">
              <w:rPr>
                <w:sz w:val="18"/>
                <w:szCs w:val="18"/>
              </w:rPr>
              <w:t>2 bedrooms</w:t>
            </w:r>
          </w:p>
        </w:tc>
        <w:tc>
          <w:tcPr>
            <w:tcW w:w="712" w:type="pct"/>
            <w:shd w:val="clear" w:color="auto" w:fill="auto"/>
            <w:noWrap/>
          </w:tcPr>
          <w:p w:rsidR="002C2D5C" w:rsidRPr="00374C95" w:rsidRDefault="008E4F8A" w:rsidP="00C378B2">
            <w:pPr>
              <w:spacing w:line="240" w:lineRule="auto"/>
              <w:jc w:val="both"/>
              <w:rPr>
                <w:rFonts w:cstheme="minorHAnsi"/>
                <w:sz w:val="18"/>
                <w:szCs w:val="18"/>
              </w:rPr>
            </w:pPr>
            <w:r>
              <w:rPr>
                <w:rFonts w:cstheme="minorHAnsi"/>
                <w:sz w:val="18"/>
                <w:szCs w:val="18"/>
              </w:rPr>
              <w:t>12</w:t>
            </w:r>
          </w:p>
        </w:tc>
        <w:tc>
          <w:tcPr>
            <w:tcW w:w="712" w:type="pct"/>
            <w:shd w:val="clear" w:color="auto" w:fill="auto"/>
            <w:noWrap/>
          </w:tcPr>
          <w:p w:rsidR="002C2D5C" w:rsidRPr="00374C95" w:rsidRDefault="008E4F8A" w:rsidP="00C378B2">
            <w:pPr>
              <w:spacing w:line="240" w:lineRule="auto"/>
              <w:jc w:val="both"/>
              <w:rPr>
                <w:rFonts w:cstheme="minorHAnsi"/>
                <w:sz w:val="18"/>
                <w:szCs w:val="18"/>
              </w:rPr>
            </w:pPr>
            <w:r>
              <w:rPr>
                <w:rFonts w:cstheme="minorHAnsi"/>
                <w:sz w:val="18"/>
                <w:szCs w:val="18"/>
              </w:rPr>
              <w:t>15</w:t>
            </w:r>
          </w:p>
        </w:tc>
        <w:tc>
          <w:tcPr>
            <w:tcW w:w="714" w:type="pct"/>
            <w:shd w:val="clear" w:color="auto" w:fill="auto"/>
            <w:noWrap/>
          </w:tcPr>
          <w:p w:rsidR="002C2D5C" w:rsidRPr="00374C95" w:rsidRDefault="008E4F8A" w:rsidP="00C378B2">
            <w:pPr>
              <w:spacing w:line="240" w:lineRule="auto"/>
              <w:jc w:val="both"/>
              <w:rPr>
                <w:rFonts w:cstheme="minorHAnsi"/>
                <w:sz w:val="18"/>
                <w:szCs w:val="18"/>
              </w:rPr>
            </w:pPr>
            <w:r>
              <w:rPr>
                <w:rFonts w:cstheme="minorHAnsi"/>
                <w:sz w:val="18"/>
                <w:szCs w:val="18"/>
              </w:rPr>
              <w:t>26</w:t>
            </w:r>
          </w:p>
        </w:tc>
        <w:tc>
          <w:tcPr>
            <w:tcW w:w="712" w:type="pct"/>
            <w:shd w:val="clear" w:color="auto" w:fill="auto"/>
            <w:noWrap/>
          </w:tcPr>
          <w:p w:rsidR="002C2D5C" w:rsidRPr="00374C95" w:rsidRDefault="008E4F8A" w:rsidP="00C378B2">
            <w:pPr>
              <w:spacing w:line="240" w:lineRule="auto"/>
              <w:jc w:val="both"/>
              <w:rPr>
                <w:rFonts w:cstheme="minorHAnsi"/>
                <w:sz w:val="18"/>
                <w:szCs w:val="18"/>
              </w:rPr>
            </w:pPr>
            <w:r>
              <w:rPr>
                <w:rFonts w:cstheme="minorHAnsi"/>
                <w:sz w:val="18"/>
                <w:szCs w:val="18"/>
              </w:rPr>
              <w:t>21</w:t>
            </w:r>
          </w:p>
        </w:tc>
        <w:tc>
          <w:tcPr>
            <w:tcW w:w="712" w:type="pct"/>
            <w:shd w:val="clear" w:color="auto" w:fill="auto"/>
            <w:noWrap/>
          </w:tcPr>
          <w:p w:rsidR="002C2D5C" w:rsidRPr="00374C95" w:rsidRDefault="008E4F8A" w:rsidP="00C378B2">
            <w:pPr>
              <w:spacing w:line="240" w:lineRule="auto"/>
              <w:jc w:val="both"/>
              <w:rPr>
                <w:rFonts w:cstheme="minorHAnsi"/>
                <w:sz w:val="18"/>
                <w:szCs w:val="18"/>
              </w:rPr>
            </w:pPr>
            <w:r>
              <w:rPr>
                <w:rFonts w:cstheme="minorHAnsi"/>
                <w:sz w:val="18"/>
                <w:szCs w:val="18"/>
              </w:rPr>
              <w:t>82</w:t>
            </w:r>
          </w:p>
        </w:tc>
        <w:tc>
          <w:tcPr>
            <w:tcW w:w="713" w:type="pct"/>
            <w:shd w:val="clear" w:color="auto" w:fill="auto"/>
            <w:noWrap/>
          </w:tcPr>
          <w:p w:rsidR="002C2D5C" w:rsidRPr="00374C95" w:rsidRDefault="008E4F8A" w:rsidP="00C378B2">
            <w:pPr>
              <w:spacing w:line="240" w:lineRule="auto"/>
              <w:jc w:val="both"/>
              <w:rPr>
                <w:rFonts w:cstheme="minorHAnsi"/>
                <w:b/>
                <w:sz w:val="18"/>
                <w:szCs w:val="18"/>
              </w:rPr>
            </w:pPr>
            <w:r>
              <w:rPr>
                <w:rFonts w:cstheme="minorHAnsi"/>
                <w:b/>
                <w:sz w:val="18"/>
                <w:szCs w:val="18"/>
              </w:rPr>
              <w:t>157</w:t>
            </w:r>
          </w:p>
        </w:tc>
      </w:tr>
      <w:tr w:rsidR="002C2D5C" w:rsidRPr="00374C95" w:rsidTr="008E4F8A">
        <w:trPr>
          <w:trHeight w:val="288"/>
        </w:trPr>
        <w:tc>
          <w:tcPr>
            <w:tcW w:w="723" w:type="pct"/>
            <w:shd w:val="clear" w:color="auto" w:fill="auto"/>
            <w:noWrap/>
            <w:hideMark/>
          </w:tcPr>
          <w:p w:rsidR="002C2D5C" w:rsidRPr="00374C95" w:rsidRDefault="002C2D5C" w:rsidP="00C378B2">
            <w:pPr>
              <w:spacing w:line="240" w:lineRule="auto"/>
              <w:jc w:val="both"/>
              <w:rPr>
                <w:rFonts w:cstheme="minorHAnsi"/>
                <w:sz w:val="18"/>
                <w:szCs w:val="18"/>
              </w:rPr>
            </w:pPr>
            <w:r w:rsidRPr="00374C95">
              <w:rPr>
                <w:sz w:val="18"/>
                <w:szCs w:val="18"/>
              </w:rPr>
              <w:t>3 bedrooms</w:t>
            </w:r>
          </w:p>
        </w:tc>
        <w:tc>
          <w:tcPr>
            <w:tcW w:w="712" w:type="pct"/>
            <w:shd w:val="clear" w:color="auto" w:fill="auto"/>
            <w:noWrap/>
          </w:tcPr>
          <w:p w:rsidR="002C2D5C" w:rsidRPr="00374C95" w:rsidRDefault="008E4F8A" w:rsidP="00C378B2">
            <w:pPr>
              <w:spacing w:line="240" w:lineRule="auto"/>
              <w:jc w:val="both"/>
              <w:rPr>
                <w:rFonts w:cstheme="minorHAnsi"/>
                <w:sz w:val="18"/>
                <w:szCs w:val="18"/>
              </w:rPr>
            </w:pPr>
            <w:r>
              <w:rPr>
                <w:rFonts w:cstheme="minorHAnsi"/>
                <w:sz w:val="18"/>
                <w:szCs w:val="18"/>
              </w:rPr>
              <w:t>5</w:t>
            </w:r>
          </w:p>
        </w:tc>
        <w:tc>
          <w:tcPr>
            <w:tcW w:w="712" w:type="pct"/>
            <w:shd w:val="clear" w:color="auto" w:fill="auto"/>
            <w:noWrap/>
          </w:tcPr>
          <w:p w:rsidR="002C2D5C" w:rsidRPr="00374C95" w:rsidRDefault="008E4F8A" w:rsidP="00C378B2">
            <w:pPr>
              <w:spacing w:line="240" w:lineRule="auto"/>
              <w:jc w:val="both"/>
              <w:rPr>
                <w:rFonts w:cstheme="minorHAnsi"/>
                <w:sz w:val="18"/>
                <w:szCs w:val="18"/>
              </w:rPr>
            </w:pPr>
            <w:r>
              <w:rPr>
                <w:rFonts w:cstheme="minorHAnsi"/>
                <w:sz w:val="18"/>
                <w:szCs w:val="18"/>
              </w:rPr>
              <w:t>18</w:t>
            </w:r>
          </w:p>
        </w:tc>
        <w:tc>
          <w:tcPr>
            <w:tcW w:w="714" w:type="pct"/>
            <w:shd w:val="clear" w:color="auto" w:fill="auto"/>
            <w:noWrap/>
          </w:tcPr>
          <w:p w:rsidR="002C2D5C" w:rsidRPr="00374C95" w:rsidRDefault="008E4F8A" w:rsidP="00C378B2">
            <w:pPr>
              <w:spacing w:line="240" w:lineRule="auto"/>
              <w:jc w:val="both"/>
              <w:rPr>
                <w:rFonts w:cstheme="minorHAnsi"/>
                <w:sz w:val="18"/>
                <w:szCs w:val="18"/>
              </w:rPr>
            </w:pPr>
            <w:r>
              <w:rPr>
                <w:rFonts w:cstheme="minorHAnsi"/>
                <w:sz w:val="18"/>
                <w:szCs w:val="18"/>
              </w:rPr>
              <w:t>72</w:t>
            </w:r>
          </w:p>
        </w:tc>
        <w:tc>
          <w:tcPr>
            <w:tcW w:w="712" w:type="pct"/>
            <w:shd w:val="clear" w:color="auto" w:fill="auto"/>
            <w:noWrap/>
          </w:tcPr>
          <w:p w:rsidR="002C2D5C" w:rsidRPr="00374C95" w:rsidRDefault="008E4F8A" w:rsidP="00C378B2">
            <w:pPr>
              <w:spacing w:line="240" w:lineRule="auto"/>
              <w:jc w:val="both"/>
              <w:rPr>
                <w:rFonts w:cstheme="minorHAnsi"/>
                <w:sz w:val="18"/>
                <w:szCs w:val="18"/>
              </w:rPr>
            </w:pPr>
            <w:r>
              <w:rPr>
                <w:rFonts w:cstheme="minorHAnsi"/>
                <w:sz w:val="18"/>
                <w:szCs w:val="18"/>
              </w:rPr>
              <w:t>49</w:t>
            </w:r>
          </w:p>
        </w:tc>
        <w:tc>
          <w:tcPr>
            <w:tcW w:w="712" w:type="pct"/>
            <w:shd w:val="clear" w:color="auto" w:fill="auto"/>
            <w:noWrap/>
          </w:tcPr>
          <w:p w:rsidR="002C2D5C" w:rsidRPr="00374C95" w:rsidRDefault="008E4F8A" w:rsidP="00C378B2">
            <w:pPr>
              <w:spacing w:line="240" w:lineRule="auto"/>
              <w:jc w:val="both"/>
              <w:rPr>
                <w:rFonts w:cstheme="minorHAnsi"/>
                <w:sz w:val="18"/>
                <w:szCs w:val="18"/>
              </w:rPr>
            </w:pPr>
            <w:r>
              <w:rPr>
                <w:rFonts w:cstheme="minorHAnsi"/>
                <w:sz w:val="18"/>
                <w:szCs w:val="18"/>
              </w:rPr>
              <w:t>115</w:t>
            </w:r>
          </w:p>
        </w:tc>
        <w:tc>
          <w:tcPr>
            <w:tcW w:w="713" w:type="pct"/>
            <w:shd w:val="clear" w:color="auto" w:fill="auto"/>
            <w:noWrap/>
          </w:tcPr>
          <w:p w:rsidR="002C2D5C" w:rsidRPr="00374C95" w:rsidRDefault="008E4F8A" w:rsidP="00C378B2">
            <w:pPr>
              <w:spacing w:line="240" w:lineRule="auto"/>
              <w:jc w:val="both"/>
              <w:rPr>
                <w:rFonts w:cstheme="minorHAnsi"/>
                <w:b/>
                <w:sz w:val="18"/>
                <w:szCs w:val="18"/>
              </w:rPr>
            </w:pPr>
            <w:r>
              <w:rPr>
                <w:rFonts w:cstheme="minorHAnsi"/>
                <w:b/>
                <w:sz w:val="18"/>
                <w:szCs w:val="18"/>
              </w:rPr>
              <w:t>259</w:t>
            </w:r>
          </w:p>
        </w:tc>
      </w:tr>
      <w:tr w:rsidR="002C2D5C" w:rsidRPr="00374C95" w:rsidTr="008E4F8A">
        <w:trPr>
          <w:trHeight w:val="288"/>
        </w:trPr>
        <w:tc>
          <w:tcPr>
            <w:tcW w:w="723" w:type="pct"/>
            <w:shd w:val="clear" w:color="auto" w:fill="auto"/>
            <w:noWrap/>
            <w:hideMark/>
          </w:tcPr>
          <w:p w:rsidR="002C2D5C" w:rsidRPr="00374C95" w:rsidRDefault="002C2D5C" w:rsidP="00C378B2">
            <w:pPr>
              <w:spacing w:line="240" w:lineRule="auto"/>
              <w:jc w:val="both"/>
              <w:rPr>
                <w:rFonts w:cstheme="minorHAnsi"/>
                <w:sz w:val="18"/>
                <w:szCs w:val="18"/>
              </w:rPr>
            </w:pPr>
            <w:r w:rsidRPr="00374C95">
              <w:rPr>
                <w:sz w:val="18"/>
                <w:szCs w:val="18"/>
              </w:rPr>
              <w:t>4 bedrooms</w:t>
            </w:r>
          </w:p>
        </w:tc>
        <w:tc>
          <w:tcPr>
            <w:tcW w:w="712" w:type="pct"/>
            <w:shd w:val="clear" w:color="auto" w:fill="auto"/>
            <w:noWrap/>
          </w:tcPr>
          <w:p w:rsidR="002C2D5C" w:rsidRPr="00374C95" w:rsidRDefault="008E4F8A" w:rsidP="00C378B2">
            <w:pPr>
              <w:spacing w:line="240" w:lineRule="auto"/>
              <w:jc w:val="both"/>
              <w:rPr>
                <w:rFonts w:cstheme="minorHAnsi"/>
                <w:sz w:val="18"/>
                <w:szCs w:val="18"/>
              </w:rPr>
            </w:pPr>
            <w:r>
              <w:rPr>
                <w:rFonts w:cstheme="minorHAnsi"/>
                <w:sz w:val="18"/>
                <w:szCs w:val="18"/>
              </w:rPr>
              <w:t>1</w:t>
            </w:r>
          </w:p>
        </w:tc>
        <w:tc>
          <w:tcPr>
            <w:tcW w:w="712" w:type="pct"/>
            <w:shd w:val="clear" w:color="auto" w:fill="auto"/>
            <w:noWrap/>
          </w:tcPr>
          <w:p w:rsidR="002C2D5C" w:rsidRPr="00374C95" w:rsidRDefault="008E4F8A" w:rsidP="00C378B2">
            <w:pPr>
              <w:spacing w:line="240" w:lineRule="auto"/>
              <w:jc w:val="both"/>
              <w:rPr>
                <w:rFonts w:cstheme="minorHAnsi"/>
                <w:sz w:val="18"/>
                <w:szCs w:val="18"/>
              </w:rPr>
            </w:pPr>
            <w:r>
              <w:rPr>
                <w:rFonts w:cstheme="minorHAnsi"/>
                <w:sz w:val="18"/>
                <w:szCs w:val="18"/>
              </w:rPr>
              <w:t>5</w:t>
            </w:r>
          </w:p>
        </w:tc>
        <w:tc>
          <w:tcPr>
            <w:tcW w:w="714" w:type="pct"/>
            <w:shd w:val="clear" w:color="auto" w:fill="auto"/>
            <w:noWrap/>
          </w:tcPr>
          <w:p w:rsidR="002C2D5C" w:rsidRPr="00374C95" w:rsidRDefault="008E4F8A" w:rsidP="00C378B2">
            <w:pPr>
              <w:spacing w:line="240" w:lineRule="auto"/>
              <w:jc w:val="both"/>
              <w:rPr>
                <w:rFonts w:cstheme="minorHAnsi"/>
                <w:sz w:val="18"/>
                <w:szCs w:val="18"/>
              </w:rPr>
            </w:pPr>
            <w:r>
              <w:rPr>
                <w:rFonts w:cstheme="minorHAnsi"/>
                <w:sz w:val="18"/>
                <w:szCs w:val="18"/>
              </w:rPr>
              <w:t>41</w:t>
            </w:r>
          </w:p>
        </w:tc>
        <w:tc>
          <w:tcPr>
            <w:tcW w:w="712" w:type="pct"/>
            <w:shd w:val="clear" w:color="auto" w:fill="auto"/>
            <w:noWrap/>
          </w:tcPr>
          <w:p w:rsidR="002C2D5C" w:rsidRPr="00374C95" w:rsidRDefault="008E4F8A" w:rsidP="00C378B2">
            <w:pPr>
              <w:spacing w:line="240" w:lineRule="auto"/>
              <w:jc w:val="both"/>
              <w:rPr>
                <w:rFonts w:cstheme="minorHAnsi"/>
                <w:sz w:val="18"/>
                <w:szCs w:val="18"/>
              </w:rPr>
            </w:pPr>
            <w:r>
              <w:rPr>
                <w:rFonts w:cstheme="minorHAnsi"/>
                <w:sz w:val="18"/>
                <w:szCs w:val="18"/>
              </w:rPr>
              <w:t>26</w:t>
            </w:r>
          </w:p>
        </w:tc>
        <w:tc>
          <w:tcPr>
            <w:tcW w:w="712" w:type="pct"/>
            <w:shd w:val="clear" w:color="auto" w:fill="auto"/>
            <w:noWrap/>
          </w:tcPr>
          <w:p w:rsidR="002C2D5C" w:rsidRPr="00374C95" w:rsidRDefault="008E4F8A" w:rsidP="00C378B2">
            <w:pPr>
              <w:spacing w:line="240" w:lineRule="auto"/>
              <w:jc w:val="both"/>
              <w:rPr>
                <w:rFonts w:cstheme="minorHAnsi"/>
                <w:sz w:val="18"/>
                <w:szCs w:val="18"/>
              </w:rPr>
            </w:pPr>
            <w:r>
              <w:rPr>
                <w:rFonts w:cstheme="minorHAnsi"/>
                <w:sz w:val="18"/>
                <w:szCs w:val="18"/>
              </w:rPr>
              <w:t>34</w:t>
            </w:r>
          </w:p>
        </w:tc>
        <w:tc>
          <w:tcPr>
            <w:tcW w:w="713" w:type="pct"/>
            <w:shd w:val="clear" w:color="auto" w:fill="auto"/>
            <w:noWrap/>
          </w:tcPr>
          <w:p w:rsidR="002C2D5C" w:rsidRPr="00374C95" w:rsidRDefault="008E4F8A" w:rsidP="00C378B2">
            <w:pPr>
              <w:spacing w:line="240" w:lineRule="auto"/>
              <w:jc w:val="both"/>
              <w:rPr>
                <w:rFonts w:cstheme="minorHAnsi"/>
                <w:b/>
                <w:sz w:val="18"/>
                <w:szCs w:val="18"/>
              </w:rPr>
            </w:pPr>
            <w:r>
              <w:rPr>
                <w:rFonts w:cstheme="minorHAnsi"/>
                <w:b/>
                <w:sz w:val="18"/>
                <w:szCs w:val="18"/>
              </w:rPr>
              <w:t>107</w:t>
            </w:r>
          </w:p>
        </w:tc>
      </w:tr>
      <w:tr w:rsidR="002C2D5C" w:rsidRPr="00374C95" w:rsidTr="008E4F8A">
        <w:trPr>
          <w:trHeight w:val="288"/>
        </w:trPr>
        <w:tc>
          <w:tcPr>
            <w:tcW w:w="723" w:type="pct"/>
            <w:shd w:val="clear" w:color="auto" w:fill="auto"/>
            <w:noWrap/>
            <w:hideMark/>
          </w:tcPr>
          <w:p w:rsidR="002C2D5C" w:rsidRPr="00374C95" w:rsidRDefault="002C2D5C" w:rsidP="00C378B2">
            <w:pPr>
              <w:spacing w:line="240" w:lineRule="auto"/>
              <w:jc w:val="both"/>
              <w:rPr>
                <w:rFonts w:cstheme="minorHAnsi"/>
                <w:sz w:val="18"/>
                <w:szCs w:val="18"/>
              </w:rPr>
            </w:pPr>
            <w:r w:rsidRPr="00374C95">
              <w:rPr>
                <w:sz w:val="18"/>
                <w:szCs w:val="18"/>
              </w:rPr>
              <w:t>5+ bedrooms</w:t>
            </w:r>
          </w:p>
        </w:tc>
        <w:tc>
          <w:tcPr>
            <w:tcW w:w="712" w:type="pct"/>
            <w:shd w:val="clear" w:color="auto" w:fill="auto"/>
            <w:noWrap/>
          </w:tcPr>
          <w:p w:rsidR="002C2D5C" w:rsidRPr="00374C95" w:rsidRDefault="008E4F8A" w:rsidP="00C378B2">
            <w:pPr>
              <w:spacing w:line="240" w:lineRule="auto"/>
              <w:jc w:val="both"/>
              <w:rPr>
                <w:rFonts w:cstheme="minorHAnsi"/>
                <w:sz w:val="18"/>
                <w:szCs w:val="18"/>
              </w:rPr>
            </w:pPr>
            <w:r>
              <w:rPr>
                <w:rFonts w:cstheme="minorHAnsi"/>
                <w:sz w:val="18"/>
                <w:szCs w:val="18"/>
              </w:rPr>
              <w:t>0</w:t>
            </w:r>
          </w:p>
        </w:tc>
        <w:tc>
          <w:tcPr>
            <w:tcW w:w="712" w:type="pct"/>
            <w:shd w:val="clear" w:color="auto" w:fill="auto"/>
            <w:noWrap/>
          </w:tcPr>
          <w:p w:rsidR="002C2D5C" w:rsidRPr="00374C95" w:rsidRDefault="008E4F8A" w:rsidP="00C378B2">
            <w:pPr>
              <w:spacing w:line="240" w:lineRule="auto"/>
              <w:jc w:val="both"/>
              <w:rPr>
                <w:rFonts w:cstheme="minorHAnsi"/>
                <w:sz w:val="18"/>
                <w:szCs w:val="18"/>
              </w:rPr>
            </w:pPr>
            <w:r>
              <w:rPr>
                <w:rFonts w:cstheme="minorHAnsi"/>
                <w:sz w:val="18"/>
                <w:szCs w:val="18"/>
              </w:rPr>
              <w:t>1</w:t>
            </w:r>
          </w:p>
        </w:tc>
        <w:tc>
          <w:tcPr>
            <w:tcW w:w="714" w:type="pct"/>
            <w:shd w:val="clear" w:color="auto" w:fill="auto"/>
            <w:noWrap/>
          </w:tcPr>
          <w:p w:rsidR="002C2D5C" w:rsidRPr="00374C95" w:rsidRDefault="008E4F8A" w:rsidP="00C378B2">
            <w:pPr>
              <w:spacing w:line="240" w:lineRule="auto"/>
              <w:jc w:val="both"/>
              <w:rPr>
                <w:rFonts w:cstheme="minorHAnsi"/>
                <w:sz w:val="18"/>
                <w:szCs w:val="18"/>
              </w:rPr>
            </w:pPr>
            <w:r>
              <w:rPr>
                <w:rFonts w:cstheme="minorHAnsi"/>
                <w:sz w:val="18"/>
                <w:szCs w:val="18"/>
              </w:rPr>
              <w:t>10</w:t>
            </w:r>
          </w:p>
        </w:tc>
        <w:tc>
          <w:tcPr>
            <w:tcW w:w="712" w:type="pct"/>
            <w:shd w:val="clear" w:color="auto" w:fill="auto"/>
            <w:noWrap/>
          </w:tcPr>
          <w:p w:rsidR="002C2D5C" w:rsidRPr="00374C95" w:rsidRDefault="008E4F8A" w:rsidP="00C378B2">
            <w:pPr>
              <w:spacing w:line="240" w:lineRule="auto"/>
              <w:jc w:val="both"/>
              <w:rPr>
                <w:rFonts w:cstheme="minorHAnsi"/>
                <w:sz w:val="18"/>
                <w:szCs w:val="18"/>
              </w:rPr>
            </w:pPr>
            <w:r>
              <w:rPr>
                <w:rFonts w:cstheme="minorHAnsi"/>
                <w:sz w:val="18"/>
                <w:szCs w:val="18"/>
              </w:rPr>
              <w:t>7</w:t>
            </w:r>
          </w:p>
        </w:tc>
        <w:tc>
          <w:tcPr>
            <w:tcW w:w="712" w:type="pct"/>
            <w:shd w:val="clear" w:color="auto" w:fill="auto"/>
            <w:noWrap/>
          </w:tcPr>
          <w:p w:rsidR="002C2D5C" w:rsidRPr="00374C95" w:rsidRDefault="008E4F8A" w:rsidP="00C378B2">
            <w:pPr>
              <w:spacing w:line="240" w:lineRule="auto"/>
              <w:jc w:val="both"/>
              <w:rPr>
                <w:rFonts w:cstheme="minorHAnsi"/>
                <w:sz w:val="18"/>
                <w:szCs w:val="18"/>
              </w:rPr>
            </w:pPr>
            <w:r>
              <w:rPr>
                <w:rFonts w:cstheme="minorHAnsi"/>
                <w:sz w:val="18"/>
                <w:szCs w:val="18"/>
              </w:rPr>
              <w:t>7</w:t>
            </w:r>
          </w:p>
        </w:tc>
        <w:tc>
          <w:tcPr>
            <w:tcW w:w="713" w:type="pct"/>
            <w:shd w:val="clear" w:color="auto" w:fill="auto"/>
            <w:noWrap/>
          </w:tcPr>
          <w:p w:rsidR="002C2D5C" w:rsidRPr="00374C95" w:rsidRDefault="008E4F8A" w:rsidP="00C378B2">
            <w:pPr>
              <w:spacing w:line="240" w:lineRule="auto"/>
              <w:jc w:val="both"/>
              <w:rPr>
                <w:rFonts w:cstheme="minorHAnsi"/>
                <w:b/>
                <w:sz w:val="18"/>
                <w:szCs w:val="18"/>
              </w:rPr>
            </w:pPr>
            <w:r>
              <w:rPr>
                <w:rFonts w:cstheme="minorHAnsi"/>
                <w:b/>
                <w:sz w:val="18"/>
                <w:szCs w:val="18"/>
              </w:rPr>
              <w:t>25</w:t>
            </w:r>
          </w:p>
        </w:tc>
      </w:tr>
    </w:tbl>
    <w:p w:rsidR="002C2D5C" w:rsidRPr="00374C95" w:rsidRDefault="002C2D5C" w:rsidP="002C2D5C">
      <w:pPr>
        <w:pStyle w:val="Source"/>
        <w:jc w:val="both"/>
        <w:rPr>
          <w:sz w:val="18"/>
          <w:szCs w:val="18"/>
          <w:lang w:val="en-GB"/>
        </w:rPr>
      </w:pPr>
      <w:r w:rsidRPr="00374C95">
        <w:rPr>
          <w:sz w:val="18"/>
          <w:szCs w:val="18"/>
          <w:lang w:val="en-GB"/>
        </w:rPr>
        <w:t>Source: Census 2011, AECOM Calculations</w:t>
      </w:r>
      <w:r w:rsidR="00430AD8">
        <w:rPr>
          <w:sz w:val="18"/>
          <w:szCs w:val="18"/>
          <w:lang w:val="en-GB"/>
        </w:rPr>
        <w:t>. Figures may not sum due to rounding</w:t>
      </w:r>
    </w:p>
    <w:p w:rsidR="002C2D5C" w:rsidRPr="00AC0E8A" w:rsidRDefault="002C2D5C" w:rsidP="002C2D5C">
      <w:pPr>
        <w:pStyle w:val="ListNumber"/>
        <w:spacing w:before="0" w:after="0" w:line="240" w:lineRule="auto"/>
        <w:jc w:val="both"/>
        <w:rPr>
          <w:sz w:val="18"/>
          <w:szCs w:val="18"/>
          <w:lang w:val="en-GB"/>
        </w:rPr>
      </w:pPr>
      <w:r w:rsidRPr="00AC0E8A">
        <w:rPr>
          <w:sz w:val="18"/>
          <w:szCs w:val="18"/>
          <w:lang w:val="en-GB"/>
        </w:rPr>
        <w:t xml:space="preserve">It is now possible to compare the </w:t>
      </w:r>
      <w:r w:rsidR="00AC0E8A">
        <w:rPr>
          <w:sz w:val="18"/>
          <w:szCs w:val="18"/>
          <w:lang w:val="en-GB"/>
        </w:rPr>
        <w:t xml:space="preserve">2011 </w:t>
      </w:r>
      <w:r w:rsidRPr="00AC0E8A">
        <w:rPr>
          <w:sz w:val="18"/>
          <w:szCs w:val="18"/>
          <w:lang w:val="en-GB"/>
        </w:rPr>
        <w:t>housi</w:t>
      </w:r>
      <w:r w:rsidR="00AC0E8A">
        <w:rPr>
          <w:sz w:val="18"/>
          <w:szCs w:val="18"/>
          <w:lang w:val="en-GB"/>
        </w:rPr>
        <w:t xml:space="preserve">ng mix in terms of size </w:t>
      </w:r>
      <w:r w:rsidRPr="00AC0E8A">
        <w:rPr>
          <w:sz w:val="18"/>
          <w:szCs w:val="18"/>
          <w:lang w:val="en-GB"/>
        </w:rPr>
        <w:t>with the projected requirement based</w:t>
      </w:r>
      <w:r w:rsidR="00AC0E8A">
        <w:rPr>
          <w:sz w:val="18"/>
          <w:szCs w:val="18"/>
          <w:lang w:val="en-GB"/>
        </w:rPr>
        <w:t xml:space="preserve"> on the estimates set out </w:t>
      </w:r>
      <w:r w:rsidRPr="00AC0E8A">
        <w:rPr>
          <w:sz w:val="18"/>
          <w:szCs w:val="18"/>
          <w:lang w:val="en-GB"/>
        </w:rPr>
        <w:t xml:space="preserve">in </w:t>
      </w:r>
      <w:fldSimple w:instr=" REF _Ref2613011 \h  \* MERGEFORMAT ">
        <w:r w:rsidR="00E14AFB" w:rsidRPr="002D4F56">
          <w:rPr>
            <w:sz w:val="18"/>
            <w:szCs w:val="18"/>
          </w:rPr>
          <w:t xml:space="preserve">Table </w:t>
        </w:r>
        <w:r w:rsidR="00E14AFB">
          <w:rPr>
            <w:noProof/>
            <w:sz w:val="18"/>
            <w:szCs w:val="18"/>
          </w:rPr>
          <w:t>6</w:t>
        </w:r>
        <w:r w:rsidR="00E14AFB" w:rsidRPr="002D4F56">
          <w:rPr>
            <w:noProof/>
            <w:sz w:val="18"/>
            <w:szCs w:val="18"/>
          </w:rPr>
          <w:noBreakHyphen/>
        </w:r>
        <w:r w:rsidR="00E14AFB">
          <w:rPr>
            <w:noProof/>
            <w:sz w:val="18"/>
            <w:szCs w:val="18"/>
          </w:rPr>
          <w:t>12</w:t>
        </w:r>
      </w:fldSimple>
      <w:r w:rsidRPr="00AC0E8A">
        <w:rPr>
          <w:sz w:val="18"/>
          <w:szCs w:val="18"/>
          <w:lang w:val="en-GB"/>
        </w:rPr>
        <w:t xml:space="preserve"> </w:t>
      </w:r>
      <w:r w:rsidR="00AC0E8A">
        <w:rPr>
          <w:sz w:val="18"/>
          <w:szCs w:val="18"/>
          <w:lang w:val="en-GB"/>
        </w:rPr>
        <w:t xml:space="preserve">above modelling the </w:t>
      </w:r>
      <w:r w:rsidRPr="00AC0E8A">
        <w:rPr>
          <w:sz w:val="18"/>
          <w:szCs w:val="18"/>
          <w:lang w:val="en-GB"/>
        </w:rPr>
        <w:t xml:space="preserve">change in the age structure of the population in </w:t>
      </w:r>
      <w:r w:rsidR="008E4F8A">
        <w:rPr>
          <w:sz w:val="18"/>
          <w:szCs w:val="18"/>
          <w:lang w:val="en-GB"/>
        </w:rPr>
        <w:t>Reedham</w:t>
      </w:r>
      <w:r w:rsidRPr="00AC0E8A">
        <w:rPr>
          <w:sz w:val="18"/>
          <w:szCs w:val="18"/>
          <w:lang w:val="en-GB"/>
        </w:rPr>
        <w:t xml:space="preserve">. </w:t>
      </w:r>
    </w:p>
    <w:p w:rsidR="002C2D5C" w:rsidRPr="00DC2565" w:rsidRDefault="002C2D5C" w:rsidP="002C2D5C">
      <w:pPr>
        <w:pStyle w:val="ListNumber"/>
        <w:numPr>
          <w:ilvl w:val="0"/>
          <w:numId w:val="0"/>
        </w:numPr>
        <w:spacing w:before="0" w:after="0" w:line="240" w:lineRule="auto"/>
        <w:ind w:left="425"/>
        <w:jc w:val="both"/>
        <w:rPr>
          <w:lang w:val="en-GB"/>
        </w:rPr>
      </w:pPr>
    </w:p>
    <w:p w:rsidR="002C2D5C" w:rsidRDefault="001A69AC" w:rsidP="002C2D5C">
      <w:pPr>
        <w:pStyle w:val="ListNumber"/>
        <w:widowControl w:val="0"/>
        <w:jc w:val="both"/>
        <w:rPr>
          <w:sz w:val="18"/>
          <w:szCs w:val="18"/>
        </w:rPr>
      </w:pPr>
      <w:fldSimple w:instr=" REF _Ref4498910 \h  \* MERGEFORMAT ">
        <w:r w:rsidR="00E14AFB" w:rsidRPr="002D4F56">
          <w:rPr>
            <w:sz w:val="18"/>
            <w:szCs w:val="18"/>
          </w:rPr>
          <w:t xml:space="preserve">Table </w:t>
        </w:r>
        <w:r w:rsidR="00E14AFB">
          <w:rPr>
            <w:noProof/>
            <w:sz w:val="18"/>
            <w:szCs w:val="18"/>
          </w:rPr>
          <w:t>6</w:t>
        </w:r>
        <w:r w:rsidR="00E14AFB" w:rsidRPr="002D4F56">
          <w:rPr>
            <w:noProof/>
            <w:sz w:val="18"/>
            <w:szCs w:val="18"/>
          </w:rPr>
          <w:noBreakHyphen/>
        </w:r>
        <w:r w:rsidR="00E14AFB">
          <w:rPr>
            <w:noProof/>
            <w:sz w:val="18"/>
            <w:szCs w:val="18"/>
          </w:rPr>
          <w:t>13</w:t>
        </w:r>
      </w:fldSimple>
      <w:r w:rsidR="002C2D5C" w:rsidRPr="00AC0E8A">
        <w:rPr>
          <w:sz w:val="18"/>
          <w:szCs w:val="18"/>
        </w:rPr>
        <w:t xml:space="preserve"> below indicates that, by </w:t>
      </w:r>
      <w:r w:rsidR="00F60AFF">
        <w:rPr>
          <w:sz w:val="18"/>
          <w:szCs w:val="18"/>
        </w:rPr>
        <w:t>2036</w:t>
      </w:r>
      <w:r w:rsidR="002C2D5C" w:rsidRPr="00AC0E8A">
        <w:rPr>
          <w:sz w:val="18"/>
          <w:szCs w:val="18"/>
        </w:rPr>
        <w:t xml:space="preserve">, the </w:t>
      </w:r>
      <w:r w:rsidR="00AC0E8A">
        <w:rPr>
          <w:sz w:val="18"/>
          <w:szCs w:val="18"/>
        </w:rPr>
        <w:t xml:space="preserve">size </w:t>
      </w:r>
      <w:r w:rsidR="002C2D5C" w:rsidRPr="00AC0E8A">
        <w:rPr>
          <w:sz w:val="18"/>
          <w:szCs w:val="18"/>
        </w:rPr>
        <w:t>distribution of dwellings should be</w:t>
      </w:r>
      <w:r w:rsidR="00AC0E8A">
        <w:rPr>
          <w:sz w:val="18"/>
          <w:szCs w:val="18"/>
        </w:rPr>
        <w:t xml:space="preserve"> as follows</w:t>
      </w:r>
      <w:bookmarkStart w:id="135" w:name="_Ref2613576"/>
      <w:bookmarkStart w:id="136" w:name="_Ref4498855"/>
      <w:r w:rsidR="00446CAF">
        <w:rPr>
          <w:sz w:val="18"/>
          <w:szCs w:val="18"/>
        </w:rPr>
        <w:t xml:space="preserve">; almost half of the houses in Reedham </w:t>
      </w:r>
      <w:r w:rsidR="0039435D">
        <w:rPr>
          <w:sz w:val="18"/>
          <w:szCs w:val="18"/>
        </w:rPr>
        <w:t>should</w:t>
      </w:r>
      <w:r w:rsidR="00446CAF">
        <w:rPr>
          <w:sz w:val="18"/>
          <w:szCs w:val="18"/>
        </w:rPr>
        <w:t xml:space="preserve"> be 3 bedrooms (44.7%), followed by just over a quarter of homes having 2 bedrooms (27.0%). 4 bedrooms and 5 or more bedroom houses </w:t>
      </w:r>
      <w:r w:rsidR="0039435D">
        <w:rPr>
          <w:sz w:val="18"/>
          <w:szCs w:val="18"/>
        </w:rPr>
        <w:t>should in theory decline as a proportion of all housing</w:t>
      </w:r>
      <w:r w:rsidR="00446CAF">
        <w:rPr>
          <w:sz w:val="18"/>
          <w:szCs w:val="18"/>
        </w:rPr>
        <w:t xml:space="preserve"> by 2036. In comparison, in 2036, the number of 2 bedrooms homes is likely to increase by 22.6%. </w:t>
      </w:r>
    </w:p>
    <w:p w:rsidR="0039435D" w:rsidRPr="00AC0E8A" w:rsidRDefault="0039435D" w:rsidP="002C2D5C">
      <w:pPr>
        <w:pStyle w:val="ListNumber"/>
        <w:widowControl w:val="0"/>
        <w:jc w:val="both"/>
        <w:rPr>
          <w:sz w:val="18"/>
          <w:szCs w:val="18"/>
        </w:rPr>
      </w:pPr>
      <w:r>
        <w:rPr>
          <w:sz w:val="18"/>
          <w:szCs w:val="18"/>
        </w:rPr>
        <w:t>These relatively large changes are due to Reedham’s quite unusual current dwelling mix. The most common category of dwelling in Reedham is currently 4 bedrooms, with extremely few dwellings with 1 or 2 bedrooms. The percentages below show that to attain greater balance in the dwelling mix, the number of smaller homes needs to drastically increase and the number of large dwellings need not increase further at all.</w:t>
      </w:r>
    </w:p>
    <w:p w:rsidR="002C2D5C" w:rsidRPr="002D4F56" w:rsidRDefault="002C2D5C" w:rsidP="002C2D5C">
      <w:pPr>
        <w:pStyle w:val="Caption"/>
        <w:jc w:val="both"/>
        <w:rPr>
          <w:sz w:val="18"/>
          <w:szCs w:val="18"/>
        </w:rPr>
      </w:pPr>
      <w:bookmarkStart w:id="137" w:name="_Ref4498910"/>
      <w:r w:rsidRPr="002D4F56">
        <w:rPr>
          <w:sz w:val="18"/>
          <w:szCs w:val="18"/>
        </w:rPr>
        <w:lastRenderedPageBreak/>
        <w:t xml:space="preserve">Table </w:t>
      </w:r>
      <w:r w:rsidR="001A69AC" w:rsidRPr="002D4F56">
        <w:rPr>
          <w:noProof/>
          <w:sz w:val="18"/>
          <w:szCs w:val="18"/>
        </w:rPr>
        <w:fldChar w:fldCharType="begin"/>
      </w:r>
      <w:r w:rsidRPr="002D4F56">
        <w:rPr>
          <w:noProof/>
          <w:sz w:val="18"/>
          <w:szCs w:val="18"/>
        </w:rPr>
        <w:instrText xml:space="preserve"> STYLEREF 1 \s </w:instrText>
      </w:r>
      <w:r w:rsidR="001A69AC" w:rsidRPr="002D4F56">
        <w:rPr>
          <w:noProof/>
          <w:sz w:val="18"/>
          <w:szCs w:val="18"/>
        </w:rPr>
        <w:fldChar w:fldCharType="separate"/>
      </w:r>
      <w:r w:rsidR="00E14AFB">
        <w:rPr>
          <w:noProof/>
          <w:sz w:val="18"/>
          <w:szCs w:val="18"/>
        </w:rPr>
        <w:t>6</w:t>
      </w:r>
      <w:r w:rsidR="001A69AC" w:rsidRPr="002D4F56">
        <w:rPr>
          <w:noProof/>
          <w:sz w:val="18"/>
          <w:szCs w:val="18"/>
        </w:rPr>
        <w:fldChar w:fldCharType="end"/>
      </w:r>
      <w:r w:rsidRPr="002D4F56">
        <w:rPr>
          <w:sz w:val="18"/>
          <w:szCs w:val="18"/>
        </w:rPr>
        <w:noBreakHyphen/>
      </w:r>
      <w:r w:rsidR="001A69AC" w:rsidRPr="002D4F56">
        <w:rPr>
          <w:noProof/>
          <w:sz w:val="18"/>
          <w:szCs w:val="18"/>
        </w:rPr>
        <w:fldChar w:fldCharType="begin"/>
      </w:r>
      <w:r w:rsidRPr="002D4F56">
        <w:rPr>
          <w:noProof/>
          <w:sz w:val="18"/>
          <w:szCs w:val="18"/>
        </w:rPr>
        <w:instrText xml:space="preserve"> SEQ Table \* ARABIC \s 1 </w:instrText>
      </w:r>
      <w:r w:rsidR="001A69AC" w:rsidRPr="002D4F56">
        <w:rPr>
          <w:noProof/>
          <w:sz w:val="18"/>
          <w:szCs w:val="18"/>
        </w:rPr>
        <w:fldChar w:fldCharType="separate"/>
      </w:r>
      <w:r w:rsidR="00E14AFB">
        <w:rPr>
          <w:noProof/>
          <w:sz w:val="18"/>
          <w:szCs w:val="18"/>
        </w:rPr>
        <w:t>13</w:t>
      </w:r>
      <w:r w:rsidR="001A69AC" w:rsidRPr="002D4F56">
        <w:rPr>
          <w:noProof/>
          <w:sz w:val="18"/>
          <w:szCs w:val="18"/>
        </w:rPr>
        <w:fldChar w:fldCharType="end"/>
      </w:r>
      <w:bookmarkEnd w:id="135"/>
      <w:bookmarkEnd w:id="136"/>
      <w:bookmarkEnd w:id="137"/>
      <w:r w:rsidRPr="002D4F56">
        <w:rPr>
          <w:sz w:val="18"/>
          <w:szCs w:val="18"/>
        </w:rPr>
        <w:t xml:space="preserve">: </w:t>
      </w:r>
      <w:r w:rsidR="00AC0E8A" w:rsidRPr="002D4F56">
        <w:rPr>
          <w:sz w:val="18"/>
          <w:szCs w:val="18"/>
        </w:rPr>
        <w:t xml:space="preserve">2011 housing sizes </w:t>
      </w:r>
      <w:r w:rsidRPr="002D4F56">
        <w:rPr>
          <w:sz w:val="18"/>
          <w:szCs w:val="18"/>
        </w:rPr>
        <w:t>compared t</w:t>
      </w:r>
      <w:r w:rsidR="00F16F43">
        <w:rPr>
          <w:sz w:val="18"/>
          <w:szCs w:val="18"/>
        </w:rPr>
        <w:t xml:space="preserve">o </w:t>
      </w:r>
      <w:r w:rsidR="000F4C55">
        <w:rPr>
          <w:sz w:val="18"/>
          <w:szCs w:val="18"/>
        </w:rPr>
        <w:t xml:space="preserve">likely </w:t>
      </w:r>
      <w:r w:rsidR="00F16F43">
        <w:rPr>
          <w:sz w:val="18"/>
          <w:szCs w:val="18"/>
        </w:rPr>
        <w:t>distribution at end of P</w:t>
      </w:r>
      <w:r w:rsidRPr="002D4F56">
        <w:rPr>
          <w:sz w:val="18"/>
          <w:szCs w:val="18"/>
        </w:rPr>
        <w:t>lan period</w:t>
      </w:r>
      <w:r w:rsidR="002D4F56">
        <w:rPr>
          <w:sz w:val="18"/>
          <w:szCs w:val="18"/>
        </w:rPr>
        <w:t xml:space="preserve">, </w:t>
      </w:r>
      <w:r w:rsidR="008B49CA">
        <w:rPr>
          <w:sz w:val="18"/>
          <w:szCs w:val="18"/>
        </w:rPr>
        <w:t>Reedham</w:t>
      </w:r>
    </w:p>
    <w:tbl>
      <w:tblPr>
        <w:tblW w:w="4791"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20"/>
        <w:gridCol w:w="1552"/>
        <w:gridCol w:w="1556"/>
        <w:gridCol w:w="1552"/>
        <w:gridCol w:w="1550"/>
      </w:tblGrid>
      <w:tr w:rsidR="002C2D5C" w:rsidRPr="00374C95" w:rsidTr="00C378B2">
        <w:trPr>
          <w:trHeight w:val="288"/>
        </w:trPr>
        <w:tc>
          <w:tcPr>
            <w:tcW w:w="1775" w:type="pct"/>
            <w:shd w:val="clear" w:color="auto" w:fill="000000" w:themeFill="text1"/>
            <w:noWrap/>
            <w:vAlign w:val="center"/>
            <w:hideMark/>
          </w:tcPr>
          <w:p w:rsidR="002C2D5C" w:rsidRPr="00374C95" w:rsidRDefault="002C2D5C" w:rsidP="00C378B2">
            <w:pPr>
              <w:spacing w:line="240" w:lineRule="auto"/>
              <w:jc w:val="both"/>
              <w:rPr>
                <w:rFonts w:cstheme="minorHAnsi"/>
                <w:b/>
                <w:color w:val="FFFFFF" w:themeColor="background1"/>
                <w:sz w:val="18"/>
                <w:szCs w:val="18"/>
              </w:rPr>
            </w:pPr>
            <w:r w:rsidRPr="00374C95">
              <w:rPr>
                <w:rFonts w:cstheme="minorHAnsi"/>
                <w:b/>
                <w:color w:val="FFFFFF" w:themeColor="background1"/>
                <w:sz w:val="18"/>
                <w:szCs w:val="18"/>
              </w:rPr>
              <w:t>Number of bedrooms</w:t>
            </w:r>
          </w:p>
        </w:tc>
        <w:tc>
          <w:tcPr>
            <w:tcW w:w="1614" w:type="pct"/>
            <w:gridSpan w:val="2"/>
            <w:shd w:val="clear" w:color="auto" w:fill="000000" w:themeFill="text1"/>
            <w:noWrap/>
            <w:vAlign w:val="center"/>
            <w:hideMark/>
          </w:tcPr>
          <w:p w:rsidR="002C2D5C" w:rsidRPr="00374C95" w:rsidRDefault="00E7539D" w:rsidP="00C378B2">
            <w:pPr>
              <w:spacing w:line="240" w:lineRule="auto"/>
              <w:jc w:val="both"/>
              <w:rPr>
                <w:rFonts w:cstheme="minorHAnsi"/>
                <w:b/>
                <w:color w:val="FFFFFF" w:themeColor="background1"/>
                <w:sz w:val="18"/>
                <w:szCs w:val="18"/>
              </w:rPr>
            </w:pPr>
            <w:r>
              <w:rPr>
                <w:b/>
                <w:color w:val="FFFFFF" w:themeColor="background1"/>
                <w:sz w:val="18"/>
                <w:szCs w:val="18"/>
              </w:rPr>
              <w:t>2011</w:t>
            </w:r>
          </w:p>
        </w:tc>
        <w:tc>
          <w:tcPr>
            <w:tcW w:w="1612" w:type="pct"/>
            <w:gridSpan w:val="2"/>
            <w:shd w:val="clear" w:color="auto" w:fill="000000" w:themeFill="text1"/>
            <w:noWrap/>
            <w:vAlign w:val="center"/>
            <w:hideMark/>
          </w:tcPr>
          <w:p w:rsidR="002C2D5C" w:rsidRPr="00374C95" w:rsidRDefault="008B49CA" w:rsidP="00C378B2">
            <w:pPr>
              <w:spacing w:line="240" w:lineRule="auto"/>
              <w:jc w:val="both"/>
              <w:rPr>
                <w:rFonts w:cstheme="minorHAnsi"/>
                <w:b/>
                <w:color w:val="FFFFFF" w:themeColor="background1"/>
                <w:sz w:val="18"/>
                <w:szCs w:val="18"/>
              </w:rPr>
            </w:pPr>
            <w:r>
              <w:rPr>
                <w:rFonts w:cstheme="minorHAnsi"/>
                <w:b/>
                <w:color w:val="FFFFFF" w:themeColor="background1"/>
                <w:sz w:val="18"/>
                <w:szCs w:val="18"/>
              </w:rPr>
              <w:t>203</w:t>
            </w:r>
            <w:r w:rsidR="00C84A7F">
              <w:rPr>
                <w:rFonts w:cstheme="minorHAnsi"/>
                <w:b/>
                <w:color w:val="FFFFFF" w:themeColor="background1"/>
                <w:sz w:val="18"/>
                <w:szCs w:val="18"/>
              </w:rPr>
              <w:t>6</w:t>
            </w:r>
          </w:p>
        </w:tc>
      </w:tr>
      <w:tr w:rsidR="002C2D5C" w:rsidRPr="00374C95" w:rsidTr="008B49CA">
        <w:trPr>
          <w:trHeight w:val="288"/>
        </w:trPr>
        <w:tc>
          <w:tcPr>
            <w:tcW w:w="1775" w:type="pct"/>
            <w:shd w:val="clear" w:color="auto" w:fill="auto"/>
            <w:noWrap/>
            <w:vAlign w:val="center"/>
            <w:hideMark/>
          </w:tcPr>
          <w:p w:rsidR="002C2D5C" w:rsidRPr="00374C95" w:rsidRDefault="002C2D5C" w:rsidP="00C378B2">
            <w:pPr>
              <w:spacing w:line="240" w:lineRule="auto"/>
              <w:jc w:val="both"/>
              <w:rPr>
                <w:rFonts w:cstheme="minorHAnsi"/>
                <w:sz w:val="18"/>
                <w:szCs w:val="18"/>
              </w:rPr>
            </w:pPr>
            <w:r w:rsidRPr="00374C95">
              <w:rPr>
                <w:rFonts w:cstheme="minorHAnsi"/>
                <w:sz w:val="18"/>
                <w:szCs w:val="18"/>
              </w:rPr>
              <w:t>1 bedroom</w:t>
            </w:r>
          </w:p>
        </w:tc>
        <w:tc>
          <w:tcPr>
            <w:tcW w:w="806" w:type="pct"/>
            <w:shd w:val="clear" w:color="auto" w:fill="auto"/>
            <w:noWrap/>
          </w:tcPr>
          <w:p w:rsidR="002C2D5C" w:rsidRPr="00374C95" w:rsidRDefault="008B49CA" w:rsidP="00C378B2">
            <w:pPr>
              <w:spacing w:line="240" w:lineRule="auto"/>
              <w:jc w:val="both"/>
              <w:rPr>
                <w:rFonts w:cstheme="minorHAnsi"/>
                <w:sz w:val="18"/>
                <w:szCs w:val="18"/>
              </w:rPr>
            </w:pPr>
            <w:r>
              <w:rPr>
                <w:rFonts w:cstheme="minorHAnsi"/>
                <w:sz w:val="18"/>
                <w:szCs w:val="18"/>
              </w:rPr>
              <w:t>22</w:t>
            </w:r>
          </w:p>
        </w:tc>
        <w:tc>
          <w:tcPr>
            <w:tcW w:w="808" w:type="pct"/>
            <w:shd w:val="clear" w:color="auto" w:fill="auto"/>
            <w:noWrap/>
          </w:tcPr>
          <w:p w:rsidR="002C2D5C" w:rsidRPr="00374C95" w:rsidRDefault="008B49CA" w:rsidP="00C378B2">
            <w:pPr>
              <w:spacing w:line="240" w:lineRule="auto"/>
              <w:jc w:val="both"/>
              <w:rPr>
                <w:rFonts w:cstheme="minorHAnsi"/>
                <w:sz w:val="18"/>
                <w:szCs w:val="18"/>
              </w:rPr>
            </w:pPr>
            <w:r>
              <w:rPr>
                <w:rFonts w:cstheme="minorHAnsi"/>
                <w:sz w:val="18"/>
                <w:szCs w:val="18"/>
              </w:rPr>
              <w:t>4.4%</w:t>
            </w:r>
          </w:p>
        </w:tc>
        <w:tc>
          <w:tcPr>
            <w:tcW w:w="806" w:type="pct"/>
            <w:shd w:val="clear" w:color="auto" w:fill="auto"/>
            <w:noWrap/>
          </w:tcPr>
          <w:p w:rsidR="002C2D5C" w:rsidRPr="00374C95" w:rsidRDefault="008B49CA" w:rsidP="00C378B2">
            <w:pPr>
              <w:spacing w:line="240" w:lineRule="auto"/>
              <w:jc w:val="both"/>
              <w:rPr>
                <w:rFonts w:cstheme="minorHAnsi"/>
                <w:sz w:val="18"/>
                <w:szCs w:val="18"/>
              </w:rPr>
            </w:pPr>
            <w:r>
              <w:rPr>
                <w:rFonts w:cstheme="minorHAnsi"/>
                <w:sz w:val="18"/>
                <w:szCs w:val="18"/>
              </w:rPr>
              <w:t>32</w:t>
            </w:r>
          </w:p>
        </w:tc>
        <w:tc>
          <w:tcPr>
            <w:tcW w:w="806" w:type="pct"/>
            <w:shd w:val="clear" w:color="auto" w:fill="auto"/>
            <w:noWrap/>
          </w:tcPr>
          <w:p w:rsidR="002C2D5C" w:rsidRPr="00374C95" w:rsidRDefault="008B49CA" w:rsidP="00C378B2">
            <w:pPr>
              <w:spacing w:line="240" w:lineRule="auto"/>
              <w:jc w:val="both"/>
              <w:rPr>
                <w:rFonts w:cstheme="minorHAnsi"/>
                <w:sz w:val="18"/>
                <w:szCs w:val="18"/>
              </w:rPr>
            </w:pPr>
            <w:r>
              <w:rPr>
                <w:rFonts w:cstheme="minorHAnsi"/>
                <w:sz w:val="18"/>
                <w:szCs w:val="18"/>
              </w:rPr>
              <w:t>5.6%</w:t>
            </w:r>
          </w:p>
        </w:tc>
      </w:tr>
      <w:tr w:rsidR="002C2D5C" w:rsidRPr="00374C95" w:rsidTr="008B49CA">
        <w:trPr>
          <w:trHeight w:val="288"/>
        </w:trPr>
        <w:tc>
          <w:tcPr>
            <w:tcW w:w="1775" w:type="pct"/>
            <w:shd w:val="clear" w:color="auto" w:fill="auto"/>
            <w:noWrap/>
            <w:vAlign w:val="center"/>
            <w:hideMark/>
          </w:tcPr>
          <w:p w:rsidR="002C2D5C" w:rsidRPr="00374C95" w:rsidRDefault="002C2D5C" w:rsidP="00C378B2">
            <w:pPr>
              <w:spacing w:line="240" w:lineRule="auto"/>
              <w:jc w:val="both"/>
              <w:rPr>
                <w:rFonts w:cstheme="minorHAnsi"/>
                <w:sz w:val="18"/>
                <w:szCs w:val="18"/>
              </w:rPr>
            </w:pPr>
            <w:r w:rsidRPr="00374C95">
              <w:rPr>
                <w:rFonts w:cstheme="minorHAnsi"/>
                <w:sz w:val="18"/>
                <w:szCs w:val="18"/>
              </w:rPr>
              <w:t>2 bedrooms</w:t>
            </w:r>
          </w:p>
        </w:tc>
        <w:tc>
          <w:tcPr>
            <w:tcW w:w="806" w:type="pct"/>
            <w:shd w:val="clear" w:color="auto" w:fill="auto"/>
            <w:noWrap/>
          </w:tcPr>
          <w:p w:rsidR="002C2D5C" w:rsidRPr="00374C95" w:rsidRDefault="008B49CA" w:rsidP="00C378B2">
            <w:pPr>
              <w:spacing w:line="240" w:lineRule="auto"/>
              <w:jc w:val="both"/>
              <w:rPr>
                <w:rFonts w:cstheme="minorHAnsi"/>
                <w:sz w:val="18"/>
                <w:szCs w:val="18"/>
              </w:rPr>
            </w:pPr>
            <w:r>
              <w:rPr>
                <w:rFonts w:cstheme="minorHAnsi"/>
                <w:sz w:val="18"/>
                <w:szCs w:val="18"/>
              </w:rPr>
              <w:t>22</w:t>
            </w:r>
          </w:p>
        </w:tc>
        <w:tc>
          <w:tcPr>
            <w:tcW w:w="808" w:type="pct"/>
            <w:shd w:val="clear" w:color="auto" w:fill="auto"/>
            <w:noWrap/>
          </w:tcPr>
          <w:p w:rsidR="002C2D5C" w:rsidRPr="00374C95" w:rsidRDefault="008B49CA" w:rsidP="00C378B2">
            <w:pPr>
              <w:spacing w:line="240" w:lineRule="auto"/>
              <w:jc w:val="both"/>
              <w:rPr>
                <w:rFonts w:cstheme="minorHAnsi"/>
                <w:sz w:val="18"/>
                <w:szCs w:val="18"/>
              </w:rPr>
            </w:pPr>
            <w:r>
              <w:rPr>
                <w:rFonts w:cstheme="minorHAnsi"/>
                <w:sz w:val="18"/>
                <w:szCs w:val="18"/>
              </w:rPr>
              <w:t>4.4%</w:t>
            </w:r>
          </w:p>
        </w:tc>
        <w:tc>
          <w:tcPr>
            <w:tcW w:w="806" w:type="pct"/>
            <w:shd w:val="clear" w:color="auto" w:fill="auto"/>
            <w:noWrap/>
          </w:tcPr>
          <w:p w:rsidR="002C2D5C" w:rsidRPr="00374C95" w:rsidRDefault="008B49CA" w:rsidP="00C378B2">
            <w:pPr>
              <w:spacing w:line="240" w:lineRule="auto"/>
              <w:jc w:val="both"/>
              <w:rPr>
                <w:rFonts w:cstheme="minorHAnsi"/>
                <w:sz w:val="18"/>
                <w:szCs w:val="18"/>
              </w:rPr>
            </w:pPr>
            <w:r>
              <w:rPr>
                <w:rFonts w:cstheme="minorHAnsi"/>
                <w:sz w:val="18"/>
                <w:szCs w:val="18"/>
              </w:rPr>
              <w:t>157</w:t>
            </w:r>
          </w:p>
        </w:tc>
        <w:tc>
          <w:tcPr>
            <w:tcW w:w="806" w:type="pct"/>
            <w:shd w:val="clear" w:color="auto" w:fill="auto"/>
            <w:noWrap/>
          </w:tcPr>
          <w:p w:rsidR="002C2D5C" w:rsidRPr="00374C95" w:rsidRDefault="008B49CA" w:rsidP="00C378B2">
            <w:pPr>
              <w:spacing w:line="240" w:lineRule="auto"/>
              <w:jc w:val="both"/>
              <w:rPr>
                <w:rFonts w:cstheme="minorHAnsi"/>
                <w:sz w:val="18"/>
                <w:szCs w:val="18"/>
              </w:rPr>
            </w:pPr>
            <w:r>
              <w:rPr>
                <w:rFonts w:cstheme="minorHAnsi"/>
                <w:sz w:val="18"/>
                <w:szCs w:val="18"/>
              </w:rPr>
              <w:t>27.0%</w:t>
            </w:r>
          </w:p>
        </w:tc>
      </w:tr>
      <w:tr w:rsidR="002C2D5C" w:rsidRPr="00374C95" w:rsidTr="008B49CA">
        <w:trPr>
          <w:trHeight w:val="288"/>
        </w:trPr>
        <w:tc>
          <w:tcPr>
            <w:tcW w:w="1775" w:type="pct"/>
            <w:shd w:val="clear" w:color="auto" w:fill="auto"/>
            <w:noWrap/>
            <w:vAlign w:val="center"/>
            <w:hideMark/>
          </w:tcPr>
          <w:p w:rsidR="002C2D5C" w:rsidRPr="00374C95" w:rsidRDefault="002C2D5C" w:rsidP="00C378B2">
            <w:pPr>
              <w:spacing w:line="240" w:lineRule="auto"/>
              <w:jc w:val="both"/>
              <w:rPr>
                <w:rFonts w:cstheme="minorHAnsi"/>
                <w:sz w:val="18"/>
                <w:szCs w:val="18"/>
              </w:rPr>
            </w:pPr>
            <w:r w:rsidRPr="00374C95">
              <w:rPr>
                <w:rFonts w:cstheme="minorHAnsi"/>
                <w:sz w:val="18"/>
                <w:szCs w:val="18"/>
              </w:rPr>
              <w:t>3 bedrooms</w:t>
            </w:r>
          </w:p>
        </w:tc>
        <w:tc>
          <w:tcPr>
            <w:tcW w:w="806" w:type="pct"/>
            <w:shd w:val="clear" w:color="auto" w:fill="auto"/>
            <w:noWrap/>
          </w:tcPr>
          <w:p w:rsidR="002C2D5C" w:rsidRPr="00374C95" w:rsidRDefault="008B49CA" w:rsidP="00C378B2">
            <w:pPr>
              <w:spacing w:line="240" w:lineRule="auto"/>
              <w:jc w:val="both"/>
              <w:rPr>
                <w:rFonts w:cstheme="minorHAnsi"/>
                <w:sz w:val="18"/>
                <w:szCs w:val="18"/>
              </w:rPr>
            </w:pPr>
            <w:r>
              <w:rPr>
                <w:rFonts w:cstheme="minorHAnsi"/>
                <w:sz w:val="18"/>
                <w:szCs w:val="18"/>
              </w:rPr>
              <w:t>132</w:t>
            </w:r>
          </w:p>
        </w:tc>
        <w:tc>
          <w:tcPr>
            <w:tcW w:w="808" w:type="pct"/>
            <w:shd w:val="clear" w:color="auto" w:fill="auto"/>
            <w:noWrap/>
          </w:tcPr>
          <w:p w:rsidR="002C2D5C" w:rsidRPr="00374C95" w:rsidRDefault="008B49CA" w:rsidP="00C378B2">
            <w:pPr>
              <w:spacing w:line="240" w:lineRule="auto"/>
              <w:jc w:val="both"/>
              <w:rPr>
                <w:rFonts w:cstheme="minorHAnsi"/>
                <w:sz w:val="18"/>
                <w:szCs w:val="18"/>
              </w:rPr>
            </w:pPr>
            <w:r>
              <w:rPr>
                <w:rFonts w:cstheme="minorHAnsi"/>
                <w:sz w:val="18"/>
                <w:szCs w:val="18"/>
              </w:rPr>
              <w:t>26.1%</w:t>
            </w:r>
          </w:p>
        </w:tc>
        <w:tc>
          <w:tcPr>
            <w:tcW w:w="806" w:type="pct"/>
            <w:shd w:val="clear" w:color="auto" w:fill="auto"/>
            <w:noWrap/>
          </w:tcPr>
          <w:p w:rsidR="002C2D5C" w:rsidRPr="00374C95" w:rsidRDefault="008B49CA" w:rsidP="00C378B2">
            <w:pPr>
              <w:spacing w:line="240" w:lineRule="auto"/>
              <w:jc w:val="both"/>
              <w:rPr>
                <w:rFonts w:cstheme="minorHAnsi"/>
                <w:sz w:val="18"/>
                <w:szCs w:val="18"/>
              </w:rPr>
            </w:pPr>
            <w:r>
              <w:rPr>
                <w:rFonts w:cstheme="minorHAnsi"/>
                <w:sz w:val="18"/>
                <w:szCs w:val="18"/>
              </w:rPr>
              <w:t>259</w:t>
            </w:r>
          </w:p>
        </w:tc>
        <w:tc>
          <w:tcPr>
            <w:tcW w:w="806" w:type="pct"/>
            <w:shd w:val="clear" w:color="auto" w:fill="auto"/>
            <w:noWrap/>
          </w:tcPr>
          <w:p w:rsidR="002C2D5C" w:rsidRPr="00374C95" w:rsidRDefault="008B49CA" w:rsidP="00C378B2">
            <w:pPr>
              <w:spacing w:line="240" w:lineRule="auto"/>
              <w:jc w:val="both"/>
              <w:rPr>
                <w:rFonts w:cstheme="minorHAnsi"/>
                <w:sz w:val="18"/>
                <w:szCs w:val="18"/>
              </w:rPr>
            </w:pPr>
            <w:r>
              <w:rPr>
                <w:rFonts w:cstheme="minorHAnsi"/>
                <w:sz w:val="18"/>
                <w:szCs w:val="18"/>
              </w:rPr>
              <w:t>44.7%</w:t>
            </w:r>
          </w:p>
        </w:tc>
      </w:tr>
      <w:tr w:rsidR="002C2D5C" w:rsidRPr="00374C95" w:rsidTr="008B49CA">
        <w:trPr>
          <w:trHeight w:val="288"/>
        </w:trPr>
        <w:tc>
          <w:tcPr>
            <w:tcW w:w="1775" w:type="pct"/>
            <w:shd w:val="clear" w:color="auto" w:fill="auto"/>
            <w:noWrap/>
            <w:vAlign w:val="center"/>
            <w:hideMark/>
          </w:tcPr>
          <w:p w:rsidR="002C2D5C" w:rsidRPr="00374C95" w:rsidRDefault="002C2D5C" w:rsidP="00C378B2">
            <w:pPr>
              <w:spacing w:line="240" w:lineRule="auto"/>
              <w:jc w:val="both"/>
              <w:rPr>
                <w:rFonts w:cstheme="minorHAnsi"/>
                <w:sz w:val="18"/>
                <w:szCs w:val="18"/>
              </w:rPr>
            </w:pPr>
            <w:r w:rsidRPr="00374C95">
              <w:rPr>
                <w:rFonts w:cstheme="minorHAnsi"/>
                <w:sz w:val="18"/>
                <w:szCs w:val="18"/>
              </w:rPr>
              <w:t>4 bedrooms</w:t>
            </w:r>
          </w:p>
        </w:tc>
        <w:tc>
          <w:tcPr>
            <w:tcW w:w="806" w:type="pct"/>
            <w:shd w:val="clear" w:color="auto" w:fill="auto"/>
            <w:noWrap/>
          </w:tcPr>
          <w:p w:rsidR="002C2D5C" w:rsidRPr="00374C95" w:rsidRDefault="008B49CA" w:rsidP="00C378B2">
            <w:pPr>
              <w:spacing w:line="240" w:lineRule="auto"/>
              <w:jc w:val="both"/>
              <w:rPr>
                <w:rFonts w:cstheme="minorHAnsi"/>
                <w:sz w:val="18"/>
                <w:szCs w:val="18"/>
              </w:rPr>
            </w:pPr>
            <w:r>
              <w:rPr>
                <w:rFonts w:cstheme="minorHAnsi"/>
                <w:sz w:val="18"/>
                <w:szCs w:val="18"/>
              </w:rPr>
              <w:t>239</w:t>
            </w:r>
          </w:p>
        </w:tc>
        <w:tc>
          <w:tcPr>
            <w:tcW w:w="808" w:type="pct"/>
            <w:shd w:val="clear" w:color="auto" w:fill="auto"/>
            <w:noWrap/>
          </w:tcPr>
          <w:p w:rsidR="002C2D5C" w:rsidRPr="00374C95" w:rsidRDefault="008B49CA" w:rsidP="00C378B2">
            <w:pPr>
              <w:spacing w:line="240" w:lineRule="auto"/>
              <w:jc w:val="both"/>
              <w:rPr>
                <w:rFonts w:cstheme="minorHAnsi"/>
                <w:sz w:val="18"/>
                <w:szCs w:val="18"/>
              </w:rPr>
            </w:pPr>
            <w:r>
              <w:rPr>
                <w:rFonts w:cstheme="minorHAnsi"/>
                <w:sz w:val="18"/>
                <w:szCs w:val="18"/>
              </w:rPr>
              <w:t>47.3%</w:t>
            </w:r>
          </w:p>
        </w:tc>
        <w:tc>
          <w:tcPr>
            <w:tcW w:w="806" w:type="pct"/>
            <w:shd w:val="clear" w:color="auto" w:fill="auto"/>
            <w:noWrap/>
          </w:tcPr>
          <w:p w:rsidR="002C2D5C" w:rsidRPr="00374C95" w:rsidRDefault="008B49CA" w:rsidP="00C378B2">
            <w:pPr>
              <w:spacing w:line="240" w:lineRule="auto"/>
              <w:jc w:val="both"/>
              <w:rPr>
                <w:rFonts w:cstheme="minorHAnsi"/>
                <w:sz w:val="18"/>
                <w:szCs w:val="18"/>
              </w:rPr>
            </w:pPr>
            <w:r>
              <w:rPr>
                <w:rFonts w:cstheme="minorHAnsi"/>
                <w:sz w:val="18"/>
                <w:szCs w:val="18"/>
              </w:rPr>
              <w:t>107</w:t>
            </w:r>
          </w:p>
        </w:tc>
        <w:tc>
          <w:tcPr>
            <w:tcW w:w="806" w:type="pct"/>
            <w:shd w:val="clear" w:color="auto" w:fill="auto"/>
            <w:noWrap/>
          </w:tcPr>
          <w:p w:rsidR="002C2D5C" w:rsidRPr="00374C95" w:rsidRDefault="008B49CA" w:rsidP="00C378B2">
            <w:pPr>
              <w:spacing w:line="240" w:lineRule="auto"/>
              <w:jc w:val="both"/>
              <w:rPr>
                <w:rFonts w:cstheme="minorHAnsi"/>
                <w:sz w:val="18"/>
                <w:szCs w:val="18"/>
              </w:rPr>
            </w:pPr>
            <w:r>
              <w:rPr>
                <w:rFonts w:cstheme="minorHAnsi"/>
                <w:sz w:val="18"/>
                <w:szCs w:val="18"/>
              </w:rPr>
              <w:t>18.4%</w:t>
            </w:r>
          </w:p>
        </w:tc>
      </w:tr>
      <w:tr w:rsidR="002C2D5C" w:rsidRPr="00374C95" w:rsidTr="008B49CA">
        <w:trPr>
          <w:trHeight w:val="288"/>
        </w:trPr>
        <w:tc>
          <w:tcPr>
            <w:tcW w:w="1775" w:type="pct"/>
            <w:shd w:val="clear" w:color="auto" w:fill="auto"/>
            <w:noWrap/>
            <w:vAlign w:val="center"/>
            <w:hideMark/>
          </w:tcPr>
          <w:p w:rsidR="002C2D5C" w:rsidRPr="00374C95" w:rsidRDefault="002C2D5C" w:rsidP="00C378B2">
            <w:pPr>
              <w:spacing w:line="240" w:lineRule="auto"/>
              <w:jc w:val="both"/>
              <w:rPr>
                <w:rFonts w:cstheme="minorHAnsi"/>
                <w:sz w:val="18"/>
                <w:szCs w:val="18"/>
              </w:rPr>
            </w:pPr>
            <w:r w:rsidRPr="00374C95">
              <w:rPr>
                <w:rFonts w:cstheme="minorHAnsi"/>
                <w:sz w:val="18"/>
                <w:szCs w:val="18"/>
              </w:rPr>
              <w:t>5 or more bedrooms</w:t>
            </w:r>
          </w:p>
        </w:tc>
        <w:tc>
          <w:tcPr>
            <w:tcW w:w="806" w:type="pct"/>
            <w:shd w:val="clear" w:color="auto" w:fill="auto"/>
            <w:noWrap/>
          </w:tcPr>
          <w:p w:rsidR="002C2D5C" w:rsidRPr="00374C95" w:rsidRDefault="008B49CA" w:rsidP="00C378B2">
            <w:pPr>
              <w:spacing w:line="240" w:lineRule="auto"/>
              <w:jc w:val="both"/>
              <w:rPr>
                <w:rFonts w:cstheme="minorHAnsi"/>
                <w:sz w:val="18"/>
                <w:szCs w:val="18"/>
              </w:rPr>
            </w:pPr>
            <w:r>
              <w:rPr>
                <w:rFonts w:cstheme="minorHAnsi"/>
                <w:sz w:val="18"/>
                <w:szCs w:val="18"/>
              </w:rPr>
              <w:t>91</w:t>
            </w:r>
          </w:p>
        </w:tc>
        <w:tc>
          <w:tcPr>
            <w:tcW w:w="808" w:type="pct"/>
            <w:shd w:val="clear" w:color="auto" w:fill="auto"/>
            <w:noWrap/>
          </w:tcPr>
          <w:p w:rsidR="002C2D5C" w:rsidRPr="00374C95" w:rsidRDefault="008B49CA" w:rsidP="00C378B2">
            <w:pPr>
              <w:spacing w:line="240" w:lineRule="auto"/>
              <w:jc w:val="both"/>
              <w:rPr>
                <w:rFonts w:cstheme="minorHAnsi"/>
                <w:sz w:val="18"/>
                <w:szCs w:val="18"/>
              </w:rPr>
            </w:pPr>
            <w:r>
              <w:rPr>
                <w:rFonts w:cstheme="minorHAnsi"/>
                <w:sz w:val="18"/>
                <w:szCs w:val="18"/>
              </w:rPr>
              <w:t>18.0%</w:t>
            </w:r>
          </w:p>
        </w:tc>
        <w:tc>
          <w:tcPr>
            <w:tcW w:w="806" w:type="pct"/>
            <w:shd w:val="clear" w:color="auto" w:fill="auto"/>
            <w:noWrap/>
          </w:tcPr>
          <w:p w:rsidR="002C2D5C" w:rsidRPr="00374C95" w:rsidRDefault="008B49CA" w:rsidP="00C378B2">
            <w:pPr>
              <w:spacing w:line="240" w:lineRule="auto"/>
              <w:jc w:val="both"/>
              <w:rPr>
                <w:rFonts w:cstheme="minorHAnsi"/>
                <w:sz w:val="18"/>
                <w:szCs w:val="18"/>
              </w:rPr>
            </w:pPr>
            <w:r>
              <w:rPr>
                <w:rFonts w:cstheme="minorHAnsi"/>
                <w:sz w:val="18"/>
                <w:szCs w:val="18"/>
              </w:rPr>
              <w:t>25</w:t>
            </w:r>
          </w:p>
        </w:tc>
        <w:tc>
          <w:tcPr>
            <w:tcW w:w="806" w:type="pct"/>
            <w:shd w:val="clear" w:color="auto" w:fill="auto"/>
            <w:noWrap/>
          </w:tcPr>
          <w:p w:rsidR="002C2D5C" w:rsidRPr="00374C95" w:rsidRDefault="008B49CA" w:rsidP="00C378B2">
            <w:pPr>
              <w:spacing w:line="240" w:lineRule="auto"/>
              <w:jc w:val="both"/>
              <w:rPr>
                <w:rFonts w:cstheme="minorHAnsi"/>
                <w:sz w:val="18"/>
                <w:szCs w:val="18"/>
              </w:rPr>
            </w:pPr>
            <w:r>
              <w:rPr>
                <w:rFonts w:cstheme="minorHAnsi"/>
                <w:sz w:val="18"/>
                <w:szCs w:val="18"/>
              </w:rPr>
              <w:t>4.3%</w:t>
            </w:r>
          </w:p>
        </w:tc>
      </w:tr>
      <w:tr w:rsidR="002C2D5C" w:rsidRPr="00374C95" w:rsidTr="008B49CA">
        <w:trPr>
          <w:trHeight w:val="288"/>
        </w:trPr>
        <w:tc>
          <w:tcPr>
            <w:tcW w:w="1775" w:type="pct"/>
            <w:shd w:val="clear" w:color="auto" w:fill="auto"/>
            <w:noWrap/>
            <w:vAlign w:val="center"/>
            <w:hideMark/>
          </w:tcPr>
          <w:p w:rsidR="002C2D5C" w:rsidRPr="00374C95" w:rsidRDefault="002C2D5C" w:rsidP="00C378B2">
            <w:pPr>
              <w:spacing w:line="240" w:lineRule="auto"/>
              <w:jc w:val="both"/>
              <w:rPr>
                <w:rFonts w:cstheme="minorHAnsi"/>
                <w:sz w:val="18"/>
                <w:szCs w:val="18"/>
              </w:rPr>
            </w:pPr>
            <w:r w:rsidRPr="00374C95">
              <w:rPr>
                <w:rFonts w:cstheme="minorHAnsi"/>
                <w:sz w:val="18"/>
                <w:szCs w:val="18"/>
              </w:rPr>
              <w:t>Total households</w:t>
            </w:r>
          </w:p>
        </w:tc>
        <w:tc>
          <w:tcPr>
            <w:tcW w:w="806" w:type="pct"/>
            <w:shd w:val="clear" w:color="auto" w:fill="auto"/>
            <w:noWrap/>
          </w:tcPr>
          <w:p w:rsidR="002C2D5C" w:rsidRPr="00374C95" w:rsidRDefault="008B49CA" w:rsidP="00C378B2">
            <w:pPr>
              <w:spacing w:line="240" w:lineRule="auto"/>
              <w:jc w:val="both"/>
              <w:rPr>
                <w:rFonts w:cstheme="minorHAnsi"/>
                <w:b/>
                <w:sz w:val="18"/>
                <w:szCs w:val="18"/>
              </w:rPr>
            </w:pPr>
            <w:r>
              <w:rPr>
                <w:rFonts w:cstheme="minorHAnsi"/>
                <w:b/>
                <w:sz w:val="18"/>
                <w:szCs w:val="18"/>
              </w:rPr>
              <w:t>505</w:t>
            </w:r>
          </w:p>
        </w:tc>
        <w:tc>
          <w:tcPr>
            <w:tcW w:w="808" w:type="pct"/>
            <w:shd w:val="clear" w:color="auto" w:fill="auto"/>
            <w:noWrap/>
          </w:tcPr>
          <w:p w:rsidR="002C2D5C" w:rsidRPr="00374C95" w:rsidRDefault="008B49CA" w:rsidP="00C378B2">
            <w:pPr>
              <w:spacing w:line="240" w:lineRule="auto"/>
              <w:jc w:val="both"/>
              <w:rPr>
                <w:rFonts w:cstheme="minorHAnsi"/>
                <w:b/>
                <w:sz w:val="18"/>
                <w:szCs w:val="18"/>
              </w:rPr>
            </w:pPr>
            <w:r>
              <w:rPr>
                <w:rFonts w:cstheme="minorHAnsi"/>
                <w:b/>
                <w:sz w:val="18"/>
                <w:szCs w:val="18"/>
              </w:rPr>
              <w:t>100%</w:t>
            </w:r>
          </w:p>
        </w:tc>
        <w:tc>
          <w:tcPr>
            <w:tcW w:w="806" w:type="pct"/>
            <w:shd w:val="clear" w:color="auto" w:fill="auto"/>
            <w:noWrap/>
          </w:tcPr>
          <w:p w:rsidR="002C2D5C" w:rsidRPr="00374C95" w:rsidRDefault="008B49CA" w:rsidP="00C378B2">
            <w:pPr>
              <w:spacing w:line="240" w:lineRule="auto"/>
              <w:jc w:val="both"/>
              <w:rPr>
                <w:rFonts w:cstheme="minorHAnsi"/>
                <w:b/>
                <w:sz w:val="18"/>
                <w:szCs w:val="18"/>
              </w:rPr>
            </w:pPr>
            <w:r>
              <w:rPr>
                <w:rFonts w:cstheme="minorHAnsi"/>
                <w:b/>
                <w:sz w:val="18"/>
                <w:szCs w:val="18"/>
              </w:rPr>
              <w:t>580</w:t>
            </w:r>
          </w:p>
        </w:tc>
        <w:tc>
          <w:tcPr>
            <w:tcW w:w="806" w:type="pct"/>
            <w:shd w:val="clear" w:color="auto" w:fill="auto"/>
            <w:noWrap/>
          </w:tcPr>
          <w:p w:rsidR="002C2D5C" w:rsidRPr="00374C95" w:rsidRDefault="008B49CA" w:rsidP="00C378B2">
            <w:pPr>
              <w:spacing w:line="240" w:lineRule="auto"/>
              <w:jc w:val="both"/>
              <w:rPr>
                <w:rFonts w:cstheme="minorHAnsi"/>
                <w:b/>
                <w:sz w:val="18"/>
                <w:szCs w:val="18"/>
              </w:rPr>
            </w:pPr>
            <w:r>
              <w:rPr>
                <w:rFonts w:cstheme="minorHAnsi"/>
                <w:b/>
                <w:sz w:val="18"/>
                <w:szCs w:val="18"/>
              </w:rPr>
              <w:t>100%</w:t>
            </w:r>
          </w:p>
        </w:tc>
      </w:tr>
    </w:tbl>
    <w:p w:rsidR="002C2D5C" w:rsidRPr="00374C95" w:rsidRDefault="002C2D5C" w:rsidP="002C2D5C">
      <w:pPr>
        <w:pStyle w:val="Source"/>
        <w:jc w:val="both"/>
        <w:rPr>
          <w:sz w:val="18"/>
          <w:szCs w:val="18"/>
          <w:lang w:val="en-GB"/>
        </w:rPr>
      </w:pPr>
      <w:r w:rsidRPr="00374C95">
        <w:rPr>
          <w:sz w:val="18"/>
          <w:szCs w:val="18"/>
          <w:lang w:val="en-GB"/>
        </w:rPr>
        <w:t>Source: Census 2011, AECOM Calculations</w:t>
      </w:r>
    </w:p>
    <w:p w:rsidR="002C2D5C" w:rsidRPr="008A29FC" w:rsidRDefault="001A69AC" w:rsidP="002C2D5C">
      <w:pPr>
        <w:pStyle w:val="ListNumber"/>
        <w:widowControl w:val="0"/>
        <w:jc w:val="both"/>
        <w:rPr>
          <w:rFonts w:asciiTheme="majorHAnsi" w:hAnsiTheme="majorHAnsi"/>
          <w:b/>
          <w:bCs/>
          <w:color w:val="00B5E2" w:themeColor="accent1"/>
          <w:sz w:val="18"/>
          <w:szCs w:val="18"/>
        </w:rPr>
      </w:pPr>
      <w:fldSimple w:instr=" REF _Ref2614062 \h  \* MERGEFORMAT ">
        <w:r w:rsidR="00E14AFB" w:rsidRPr="002D4F56">
          <w:rPr>
            <w:sz w:val="18"/>
            <w:szCs w:val="18"/>
          </w:rPr>
          <w:t xml:space="preserve">Table </w:t>
        </w:r>
        <w:r w:rsidR="00E14AFB">
          <w:rPr>
            <w:noProof/>
            <w:sz w:val="18"/>
            <w:szCs w:val="18"/>
          </w:rPr>
          <w:t>6</w:t>
        </w:r>
        <w:r w:rsidR="00E14AFB" w:rsidRPr="002D4F56">
          <w:rPr>
            <w:noProof/>
            <w:sz w:val="18"/>
            <w:szCs w:val="18"/>
          </w:rPr>
          <w:noBreakHyphen/>
        </w:r>
        <w:r w:rsidR="00E14AFB">
          <w:rPr>
            <w:noProof/>
            <w:sz w:val="18"/>
            <w:szCs w:val="18"/>
          </w:rPr>
          <w:t>14</w:t>
        </w:r>
      </w:fldSimple>
      <w:r w:rsidR="002C2D5C" w:rsidRPr="00AC0E8A">
        <w:rPr>
          <w:sz w:val="18"/>
          <w:szCs w:val="18"/>
        </w:rPr>
        <w:t xml:space="preserve"> below sets out the </w:t>
      </w:r>
      <w:r w:rsidR="008A29FC">
        <w:rPr>
          <w:sz w:val="18"/>
          <w:szCs w:val="18"/>
        </w:rPr>
        <w:t xml:space="preserve">estimated </w:t>
      </w:r>
      <w:r w:rsidR="002C2D5C" w:rsidRPr="00AC0E8A">
        <w:rPr>
          <w:sz w:val="18"/>
          <w:szCs w:val="18"/>
        </w:rPr>
        <w:t xml:space="preserve">misalignment between </w:t>
      </w:r>
      <w:r w:rsidR="008A29FC">
        <w:rPr>
          <w:sz w:val="18"/>
          <w:szCs w:val="18"/>
        </w:rPr>
        <w:t xml:space="preserve">future </w:t>
      </w:r>
      <w:r w:rsidR="002C2D5C" w:rsidRPr="00AC0E8A">
        <w:rPr>
          <w:sz w:val="18"/>
          <w:szCs w:val="18"/>
        </w:rPr>
        <w:t xml:space="preserve">demand for housing, based </w:t>
      </w:r>
      <w:r w:rsidR="008A29FC">
        <w:rPr>
          <w:sz w:val="18"/>
          <w:szCs w:val="18"/>
        </w:rPr>
        <w:t xml:space="preserve">on the modelled preferences of </w:t>
      </w:r>
      <w:r w:rsidR="002C2D5C" w:rsidRPr="00AC0E8A">
        <w:rPr>
          <w:sz w:val="18"/>
          <w:szCs w:val="18"/>
        </w:rPr>
        <w:t xml:space="preserve">households at different life-stages, and the current stock </w:t>
      </w:r>
      <w:r w:rsidR="008A29FC">
        <w:rPr>
          <w:sz w:val="18"/>
          <w:szCs w:val="18"/>
        </w:rPr>
        <w:t xml:space="preserve">available </w:t>
      </w:r>
      <w:r w:rsidR="002C2D5C" w:rsidRPr="00AC0E8A">
        <w:rPr>
          <w:sz w:val="18"/>
          <w:szCs w:val="18"/>
        </w:rPr>
        <w:t xml:space="preserve">in </w:t>
      </w:r>
      <w:r w:rsidR="005F50BC">
        <w:rPr>
          <w:sz w:val="18"/>
          <w:szCs w:val="18"/>
        </w:rPr>
        <w:t xml:space="preserve">the </w:t>
      </w:r>
      <w:r w:rsidR="00703761">
        <w:rPr>
          <w:sz w:val="18"/>
          <w:szCs w:val="18"/>
          <w:lang w:val="en-GB"/>
        </w:rPr>
        <w:t>Neighbourhood</w:t>
      </w:r>
      <w:r w:rsidR="00703761">
        <w:rPr>
          <w:sz w:val="18"/>
          <w:szCs w:val="18"/>
        </w:rPr>
        <w:t xml:space="preserve"> </w:t>
      </w:r>
      <w:r w:rsidR="005F50BC">
        <w:rPr>
          <w:sz w:val="18"/>
          <w:szCs w:val="18"/>
        </w:rPr>
        <w:t>Plan area</w:t>
      </w:r>
      <w:r w:rsidR="002C2D5C" w:rsidRPr="00AC0E8A">
        <w:rPr>
          <w:sz w:val="18"/>
          <w:szCs w:val="18"/>
        </w:rPr>
        <w:t>.</w:t>
      </w:r>
      <w:bookmarkStart w:id="138" w:name="_Ref526087252"/>
    </w:p>
    <w:p w:rsidR="002C2D5C" w:rsidRPr="002D4F56" w:rsidRDefault="002C2D5C" w:rsidP="002C2D5C">
      <w:pPr>
        <w:pStyle w:val="Caption"/>
        <w:jc w:val="both"/>
        <w:rPr>
          <w:sz w:val="18"/>
          <w:szCs w:val="18"/>
        </w:rPr>
      </w:pPr>
      <w:bookmarkStart w:id="139" w:name="_Ref2614062"/>
      <w:bookmarkStart w:id="140" w:name="_Ref7861551"/>
      <w:bookmarkEnd w:id="138"/>
      <w:r w:rsidRPr="002D4F56">
        <w:rPr>
          <w:sz w:val="18"/>
          <w:szCs w:val="18"/>
        </w:rPr>
        <w:t xml:space="preserve">Table </w:t>
      </w:r>
      <w:r w:rsidR="001A69AC" w:rsidRPr="002D4F56">
        <w:rPr>
          <w:noProof/>
          <w:sz w:val="18"/>
          <w:szCs w:val="18"/>
        </w:rPr>
        <w:fldChar w:fldCharType="begin"/>
      </w:r>
      <w:r w:rsidRPr="002D4F56">
        <w:rPr>
          <w:noProof/>
          <w:sz w:val="18"/>
          <w:szCs w:val="18"/>
        </w:rPr>
        <w:instrText xml:space="preserve"> STYLEREF 1 \s </w:instrText>
      </w:r>
      <w:r w:rsidR="001A69AC" w:rsidRPr="002D4F56">
        <w:rPr>
          <w:noProof/>
          <w:sz w:val="18"/>
          <w:szCs w:val="18"/>
        </w:rPr>
        <w:fldChar w:fldCharType="separate"/>
      </w:r>
      <w:r w:rsidR="00E14AFB">
        <w:rPr>
          <w:noProof/>
          <w:sz w:val="18"/>
          <w:szCs w:val="18"/>
        </w:rPr>
        <w:t>6</w:t>
      </w:r>
      <w:r w:rsidR="001A69AC" w:rsidRPr="002D4F56">
        <w:rPr>
          <w:noProof/>
          <w:sz w:val="18"/>
          <w:szCs w:val="18"/>
        </w:rPr>
        <w:fldChar w:fldCharType="end"/>
      </w:r>
      <w:r w:rsidRPr="002D4F56">
        <w:rPr>
          <w:sz w:val="18"/>
          <w:szCs w:val="18"/>
        </w:rPr>
        <w:noBreakHyphen/>
      </w:r>
      <w:r w:rsidR="001A69AC" w:rsidRPr="002D4F56">
        <w:rPr>
          <w:noProof/>
          <w:sz w:val="18"/>
          <w:szCs w:val="18"/>
        </w:rPr>
        <w:fldChar w:fldCharType="begin"/>
      </w:r>
      <w:r w:rsidRPr="002D4F56">
        <w:rPr>
          <w:noProof/>
          <w:sz w:val="18"/>
          <w:szCs w:val="18"/>
        </w:rPr>
        <w:instrText xml:space="preserve"> SEQ Table \* ARABIC \s 1 </w:instrText>
      </w:r>
      <w:r w:rsidR="001A69AC" w:rsidRPr="002D4F56">
        <w:rPr>
          <w:noProof/>
          <w:sz w:val="18"/>
          <w:szCs w:val="18"/>
        </w:rPr>
        <w:fldChar w:fldCharType="separate"/>
      </w:r>
      <w:r w:rsidR="00E14AFB">
        <w:rPr>
          <w:noProof/>
          <w:sz w:val="18"/>
          <w:szCs w:val="18"/>
        </w:rPr>
        <w:t>14</w:t>
      </w:r>
      <w:r w:rsidR="001A69AC" w:rsidRPr="002D4F56">
        <w:rPr>
          <w:noProof/>
          <w:sz w:val="18"/>
          <w:szCs w:val="18"/>
        </w:rPr>
        <w:fldChar w:fldCharType="end"/>
      </w:r>
      <w:bookmarkEnd w:id="139"/>
      <w:r w:rsidR="002D4F56">
        <w:rPr>
          <w:sz w:val="18"/>
          <w:szCs w:val="18"/>
        </w:rPr>
        <w:t>: Future potential m</w:t>
      </w:r>
      <w:r w:rsidRPr="002D4F56">
        <w:rPr>
          <w:sz w:val="18"/>
          <w:szCs w:val="18"/>
        </w:rPr>
        <w:t>isalignments of supply and demand for housing</w:t>
      </w:r>
      <w:bookmarkEnd w:id="140"/>
      <w:r w:rsidR="002D4F56">
        <w:rPr>
          <w:sz w:val="18"/>
          <w:szCs w:val="18"/>
        </w:rPr>
        <w:t xml:space="preserve">, </w:t>
      </w:r>
      <w:r w:rsidR="009C358C">
        <w:rPr>
          <w:sz w:val="18"/>
          <w:szCs w:val="18"/>
        </w:rPr>
        <w:t>Reedham</w:t>
      </w:r>
    </w:p>
    <w:tbl>
      <w:tblPr>
        <w:tblW w:w="4791"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18"/>
        <w:gridCol w:w="1903"/>
        <w:gridCol w:w="1903"/>
        <w:gridCol w:w="1903"/>
        <w:gridCol w:w="1903"/>
      </w:tblGrid>
      <w:tr w:rsidR="002C2D5C" w:rsidRPr="00374C95" w:rsidTr="00C378B2">
        <w:trPr>
          <w:trHeight w:val="288"/>
        </w:trPr>
        <w:tc>
          <w:tcPr>
            <w:tcW w:w="1048" w:type="pct"/>
            <w:shd w:val="clear" w:color="auto" w:fill="000000" w:themeFill="text1"/>
            <w:noWrap/>
            <w:vAlign w:val="center"/>
          </w:tcPr>
          <w:p w:rsidR="002C2D5C" w:rsidRPr="00374C95" w:rsidRDefault="002C2D5C" w:rsidP="00C378B2">
            <w:pPr>
              <w:spacing w:line="240" w:lineRule="auto"/>
              <w:jc w:val="both"/>
              <w:rPr>
                <w:rFonts w:cstheme="minorHAnsi"/>
                <w:b/>
                <w:color w:val="FFFFFF" w:themeColor="background2"/>
                <w:sz w:val="18"/>
                <w:szCs w:val="18"/>
              </w:rPr>
            </w:pPr>
            <w:r w:rsidRPr="00374C95">
              <w:rPr>
                <w:rFonts w:cstheme="minorHAnsi"/>
                <w:b/>
                <w:color w:val="FFFFFF" w:themeColor="background2"/>
                <w:sz w:val="18"/>
                <w:szCs w:val="18"/>
              </w:rPr>
              <w:t>Number of bedrooms</w:t>
            </w:r>
          </w:p>
        </w:tc>
        <w:tc>
          <w:tcPr>
            <w:tcW w:w="988" w:type="pct"/>
            <w:shd w:val="clear" w:color="auto" w:fill="000000" w:themeFill="text1"/>
            <w:noWrap/>
            <w:vAlign w:val="center"/>
          </w:tcPr>
          <w:p w:rsidR="002C2D5C" w:rsidRPr="00374C95" w:rsidRDefault="00E7539D" w:rsidP="00C378B2">
            <w:pPr>
              <w:spacing w:line="240" w:lineRule="auto"/>
              <w:jc w:val="both"/>
              <w:rPr>
                <w:rFonts w:cstheme="minorHAnsi"/>
                <w:b/>
                <w:color w:val="FFFFFF" w:themeColor="background2"/>
                <w:sz w:val="18"/>
                <w:szCs w:val="18"/>
              </w:rPr>
            </w:pPr>
            <w:r>
              <w:rPr>
                <w:b/>
                <w:color w:val="FFFFFF" w:themeColor="background2"/>
                <w:sz w:val="18"/>
                <w:szCs w:val="18"/>
              </w:rPr>
              <w:t>2011</w:t>
            </w:r>
          </w:p>
        </w:tc>
        <w:tc>
          <w:tcPr>
            <w:tcW w:w="988" w:type="pct"/>
            <w:shd w:val="clear" w:color="auto" w:fill="000000" w:themeFill="text1"/>
            <w:noWrap/>
            <w:vAlign w:val="center"/>
          </w:tcPr>
          <w:p w:rsidR="002C2D5C" w:rsidRPr="00374C95" w:rsidRDefault="00EB4F6B" w:rsidP="00C378B2">
            <w:pPr>
              <w:spacing w:line="240" w:lineRule="auto"/>
              <w:jc w:val="both"/>
              <w:rPr>
                <w:rFonts w:cstheme="minorHAnsi"/>
                <w:b/>
                <w:color w:val="FFFFFF" w:themeColor="background2"/>
                <w:sz w:val="18"/>
                <w:szCs w:val="18"/>
              </w:rPr>
            </w:pPr>
            <w:r>
              <w:rPr>
                <w:rFonts w:cstheme="minorHAnsi"/>
                <w:b/>
                <w:color w:val="FFFFFF" w:themeColor="background2"/>
                <w:sz w:val="18"/>
                <w:szCs w:val="18"/>
              </w:rPr>
              <w:t>2031</w:t>
            </w:r>
          </w:p>
        </w:tc>
        <w:tc>
          <w:tcPr>
            <w:tcW w:w="988" w:type="pct"/>
            <w:shd w:val="clear" w:color="auto" w:fill="000000" w:themeFill="text1"/>
            <w:noWrap/>
            <w:vAlign w:val="center"/>
          </w:tcPr>
          <w:p w:rsidR="002C2D5C" w:rsidRPr="00374C95" w:rsidRDefault="00EB4F6B" w:rsidP="00C378B2">
            <w:pPr>
              <w:spacing w:line="240" w:lineRule="auto"/>
              <w:jc w:val="both"/>
              <w:rPr>
                <w:rFonts w:cstheme="minorHAnsi"/>
                <w:b/>
                <w:color w:val="FFFFFF" w:themeColor="background2"/>
                <w:sz w:val="18"/>
                <w:szCs w:val="18"/>
              </w:rPr>
            </w:pPr>
            <w:r>
              <w:rPr>
                <w:rFonts w:cstheme="minorHAnsi"/>
                <w:b/>
                <w:color w:val="FFFFFF" w:themeColor="background2"/>
                <w:sz w:val="18"/>
                <w:szCs w:val="18"/>
              </w:rPr>
              <w:t>Change to housing mix</w:t>
            </w:r>
          </w:p>
        </w:tc>
        <w:tc>
          <w:tcPr>
            <w:tcW w:w="988" w:type="pct"/>
            <w:shd w:val="clear" w:color="auto" w:fill="000000" w:themeFill="text1"/>
            <w:noWrap/>
            <w:vAlign w:val="center"/>
          </w:tcPr>
          <w:p w:rsidR="002C2D5C" w:rsidRPr="00374C95" w:rsidRDefault="00EB4F6B" w:rsidP="00C378B2">
            <w:pPr>
              <w:spacing w:line="240" w:lineRule="auto"/>
              <w:jc w:val="both"/>
              <w:rPr>
                <w:rFonts w:cstheme="minorHAnsi"/>
                <w:b/>
                <w:color w:val="FFFFFF" w:themeColor="background2"/>
                <w:sz w:val="18"/>
                <w:szCs w:val="18"/>
              </w:rPr>
            </w:pPr>
            <w:r>
              <w:rPr>
                <w:rFonts w:cstheme="minorHAnsi"/>
                <w:b/>
                <w:color w:val="FFFFFF" w:themeColor="background2"/>
                <w:sz w:val="18"/>
                <w:szCs w:val="18"/>
              </w:rPr>
              <w:t>Recommended split</w:t>
            </w:r>
          </w:p>
        </w:tc>
      </w:tr>
      <w:tr w:rsidR="002C2D5C" w:rsidRPr="00374C95" w:rsidTr="00EB4F6B">
        <w:trPr>
          <w:trHeight w:val="288"/>
        </w:trPr>
        <w:tc>
          <w:tcPr>
            <w:tcW w:w="1048" w:type="pct"/>
            <w:shd w:val="clear" w:color="auto" w:fill="auto"/>
            <w:noWrap/>
            <w:vAlign w:val="center"/>
            <w:hideMark/>
          </w:tcPr>
          <w:p w:rsidR="002C2D5C" w:rsidRPr="00374C95" w:rsidRDefault="002C2D5C" w:rsidP="00C378B2">
            <w:pPr>
              <w:spacing w:line="240" w:lineRule="auto"/>
              <w:jc w:val="both"/>
              <w:rPr>
                <w:rFonts w:cstheme="minorHAnsi"/>
                <w:sz w:val="18"/>
                <w:szCs w:val="18"/>
              </w:rPr>
            </w:pPr>
            <w:r w:rsidRPr="00374C95">
              <w:rPr>
                <w:rFonts w:cstheme="minorHAnsi"/>
                <w:sz w:val="18"/>
                <w:szCs w:val="18"/>
              </w:rPr>
              <w:t>1 bedroom</w:t>
            </w:r>
          </w:p>
        </w:tc>
        <w:tc>
          <w:tcPr>
            <w:tcW w:w="988" w:type="pct"/>
            <w:shd w:val="clear" w:color="auto" w:fill="auto"/>
            <w:noWrap/>
          </w:tcPr>
          <w:p w:rsidR="002C2D5C" w:rsidRPr="00374C95" w:rsidRDefault="00EB4F6B" w:rsidP="00C378B2">
            <w:pPr>
              <w:spacing w:line="240" w:lineRule="auto"/>
              <w:jc w:val="both"/>
              <w:rPr>
                <w:rFonts w:cstheme="minorHAnsi"/>
                <w:sz w:val="18"/>
                <w:szCs w:val="18"/>
              </w:rPr>
            </w:pPr>
            <w:r>
              <w:rPr>
                <w:rFonts w:cstheme="minorHAnsi"/>
                <w:sz w:val="18"/>
                <w:szCs w:val="18"/>
              </w:rPr>
              <w:t>22</w:t>
            </w:r>
          </w:p>
        </w:tc>
        <w:tc>
          <w:tcPr>
            <w:tcW w:w="988" w:type="pct"/>
            <w:shd w:val="clear" w:color="auto" w:fill="auto"/>
            <w:noWrap/>
          </w:tcPr>
          <w:p w:rsidR="002C2D5C" w:rsidRPr="00374C95" w:rsidRDefault="00EB4F6B" w:rsidP="00C378B2">
            <w:pPr>
              <w:spacing w:line="240" w:lineRule="auto"/>
              <w:jc w:val="both"/>
              <w:rPr>
                <w:rFonts w:cstheme="minorHAnsi"/>
                <w:sz w:val="18"/>
                <w:szCs w:val="18"/>
              </w:rPr>
            </w:pPr>
            <w:r>
              <w:rPr>
                <w:rFonts w:cstheme="minorHAnsi"/>
                <w:sz w:val="18"/>
                <w:szCs w:val="18"/>
              </w:rPr>
              <w:t>32</w:t>
            </w:r>
          </w:p>
        </w:tc>
        <w:tc>
          <w:tcPr>
            <w:tcW w:w="988" w:type="pct"/>
            <w:shd w:val="clear" w:color="auto" w:fill="auto"/>
            <w:noWrap/>
          </w:tcPr>
          <w:p w:rsidR="002C2D5C" w:rsidRPr="00374C95" w:rsidRDefault="00EB4F6B" w:rsidP="00C378B2">
            <w:pPr>
              <w:spacing w:line="240" w:lineRule="auto"/>
              <w:jc w:val="both"/>
              <w:rPr>
                <w:rFonts w:cstheme="minorHAnsi"/>
                <w:sz w:val="18"/>
                <w:szCs w:val="18"/>
              </w:rPr>
            </w:pPr>
            <w:r>
              <w:rPr>
                <w:rFonts w:cstheme="minorHAnsi"/>
                <w:sz w:val="18"/>
                <w:szCs w:val="18"/>
              </w:rPr>
              <w:t>10</w:t>
            </w:r>
          </w:p>
        </w:tc>
        <w:tc>
          <w:tcPr>
            <w:tcW w:w="988" w:type="pct"/>
            <w:shd w:val="clear" w:color="auto" w:fill="auto"/>
            <w:noWrap/>
          </w:tcPr>
          <w:p w:rsidR="002C2D5C" w:rsidRPr="00374C95" w:rsidRDefault="00EB4F6B" w:rsidP="00C378B2">
            <w:pPr>
              <w:spacing w:line="240" w:lineRule="auto"/>
              <w:jc w:val="both"/>
              <w:rPr>
                <w:rFonts w:cstheme="minorHAnsi"/>
                <w:sz w:val="18"/>
                <w:szCs w:val="18"/>
              </w:rPr>
            </w:pPr>
            <w:r>
              <w:rPr>
                <w:rFonts w:cstheme="minorHAnsi"/>
                <w:sz w:val="18"/>
                <w:szCs w:val="18"/>
              </w:rPr>
              <w:t>3.8%</w:t>
            </w:r>
          </w:p>
        </w:tc>
      </w:tr>
      <w:tr w:rsidR="002C2D5C" w:rsidRPr="00374C95" w:rsidTr="00EB4F6B">
        <w:trPr>
          <w:trHeight w:val="288"/>
        </w:trPr>
        <w:tc>
          <w:tcPr>
            <w:tcW w:w="1048" w:type="pct"/>
            <w:shd w:val="clear" w:color="auto" w:fill="auto"/>
            <w:noWrap/>
            <w:vAlign w:val="center"/>
            <w:hideMark/>
          </w:tcPr>
          <w:p w:rsidR="002C2D5C" w:rsidRPr="00374C95" w:rsidRDefault="002C2D5C" w:rsidP="00C378B2">
            <w:pPr>
              <w:spacing w:line="240" w:lineRule="auto"/>
              <w:jc w:val="both"/>
              <w:rPr>
                <w:rFonts w:cstheme="minorHAnsi"/>
                <w:sz w:val="18"/>
                <w:szCs w:val="18"/>
              </w:rPr>
            </w:pPr>
            <w:r w:rsidRPr="00374C95">
              <w:rPr>
                <w:rFonts w:cstheme="minorHAnsi"/>
                <w:sz w:val="18"/>
                <w:szCs w:val="18"/>
              </w:rPr>
              <w:t>2 bedrooms</w:t>
            </w:r>
          </w:p>
        </w:tc>
        <w:tc>
          <w:tcPr>
            <w:tcW w:w="988" w:type="pct"/>
            <w:shd w:val="clear" w:color="auto" w:fill="auto"/>
            <w:noWrap/>
          </w:tcPr>
          <w:p w:rsidR="002C2D5C" w:rsidRPr="00374C95" w:rsidRDefault="00EB4F6B" w:rsidP="00C378B2">
            <w:pPr>
              <w:spacing w:line="240" w:lineRule="auto"/>
              <w:jc w:val="both"/>
              <w:rPr>
                <w:rFonts w:cstheme="minorHAnsi"/>
                <w:sz w:val="18"/>
                <w:szCs w:val="18"/>
              </w:rPr>
            </w:pPr>
            <w:r>
              <w:rPr>
                <w:rFonts w:cstheme="minorHAnsi"/>
                <w:sz w:val="18"/>
                <w:szCs w:val="18"/>
              </w:rPr>
              <w:t>22</w:t>
            </w:r>
          </w:p>
        </w:tc>
        <w:tc>
          <w:tcPr>
            <w:tcW w:w="988" w:type="pct"/>
            <w:shd w:val="clear" w:color="auto" w:fill="auto"/>
            <w:noWrap/>
          </w:tcPr>
          <w:p w:rsidR="002C2D5C" w:rsidRPr="00374C95" w:rsidRDefault="00EB4F6B" w:rsidP="00C378B2">
            <w:pPr>
              <w:spacing w:line="240" w:lineRule="auto"/>
              <w:jc w:val="both"/>
              <w:rPr>
                <w:rFonts w:cstheme="minorHAnsi"/>
                <w:sz w:val="18"/>
                <w:szCs w:val="18"/>
              </w:rPr>
            </w:pPr>
            <w:r>
              <w:rPr>
                <w:rFonts w:cstheme="minorHAnsi"/>
                <w:sz w:val="18"/>
                <w:szCs w:val="18"/>
              </w:rPr>
              <w:t>157</w:t>
            </w:r>
          </w:p>
        </w:tc>
        <w:tc>
          <w:tcPr>
            <w:tcW w:w="988" w:type="pct"/>
            <w:shd w:val="clear" w:color="auto" w:fill="auto"/>
            <w:noWrap/>
          </w:tcPr>
          <w:p w:rsidR="002C2D5C" w:rsidRPr="00374C95" w:rsidRDefault="00EB4F6B" w:rsidP="00C378B2">
            <w:pPr>
              <w:spacing w:line="240" w:lineRule="auto"/>
              <w:jc w:val="both"/>
              <w:rPr>
                <w:rFonts w:cstheme="minorHAnsi"/>
                <w:sz w:val="18"/>
                <w:szCs w:val="18"/>
              </w:rPr>
            </w:pPr>
            <w:r>
              <w:rPr>
                <w:rFonts w:cstheme="minorHAnsi"/>
                <w:sz w:val="18"/>
                <w:szCs w:val="18"/>
              </w:rPr>
              <w:t>135</w:t>
            </w:r>
          </w:p>
        </w:tc>
        <w:tc>
          <w:tcPr>
            <w:tcW w:w="988" w:type="pct"/>
            <w:shd w:val="clear" w:color="auto" w:fill="auto"/>
            <w:noWrap/>
          </w:tcPr>
          <w:p w:rsidR="002C2D5C" w:rsidRPr="00374C95" w:rsidRDefault="00EB4F6B" w:rsidP="00C378B2">
            <w:pPr>
              <w:spacing w:line="240" w:lineRule="auto"/>
              <w:jc w:val="both"/>
              <w:rPr>
                <w:rFonts w:cstheme="minorHAnsi"/>
                <w:sz w:val="18"/>
                <w:szCs w:val="18"/>
              </w:rPr>
            </w:pPr>
            <w:r>
              <w:rPr>
                <w:rFonts w:cstheme="minorHAnsi"/>
                <w:sz w:val="18"/>
                <w:szCs w:val="18"/>
              </w:rPr>
              <w:t>49.5%</w:t>
            </w:r>
          </w:p>
        </w:tc>
      </w:tr>
      <w:tr w:rsidR="002C2D5C" w:rsidRPr="00374C95" w:rsidTr="00EB4F6B">
        <w:trPr>
          <w:trHeight w:val="288"/>
        </w:trPr>
        <w:tc>
          <w:tcPr>
            <w:tcW w:w="1048" w:type="pct"/>
            <w:shd w:val="clear" w:color="auto" w:fill="auto"/>
            <w:noWrap/>
            <w:vAlign w:val="center"/>
            <w:hideMark/>
          </w:tcPr>
          <w:p w:rsidR="002C2D5C" w:rsidRPr="00374C95" w:rsidRDefault="002C2D5C" w:rsidP="00C378B2">
            <w:pPr>
              <w:spacing w:line="240" w:lineRule="auto"/>
              <w:jc w:val="both"/>
              <w:rPr>
                <w:rFonts w:cstheme="minorHAnsi"/>
                <w:sz w:val="18"/>
                <w:szCs w:val="18"/>
              </w:rPr>
            </w:pPr>
            <w:r w:rsidRPr="00374C95">
              <w:rPr>
                <w:rFonts w:cstheme="minorHAnsi"/>
                <w:sz w:val="18"/>
                <w:szCs w:val="18"/>
              </w:rPr>
              <w:t>3 bedrooms</w:t>
            </w:r>
          </w:p>
        </w:tc>
        <w:tc>
          <w:tcPr>
            <w:tcW w:w="988" w:type="pct"/>
            <w:shd w:val="clear" w:color="auto" w:fill="auto"/>
            <w:noWrap/>
          </w:tcPr>
          <w:p w:rsidR="002C2D5C" w:rsidRPr="00374C95" w:rsidRDefault="00EB4F6B" w:rsidP="00C378B2">
            <w:pPr>
              <w:spacing w:line="240" w:lineRule="auto"/>
              <w:jc w:val="both"/>
              <w:rPr>
                <w:rFonts w:cstheme="minorHAnsi"/>
                <w:sz w:val="18"/>
                <w:szCs w:val="18"/>
              </w:rPr>
            </w:pPr>
            <w:r>
              <w:rPr>
                <w:rFonts w:cstheme="minorHAnsi"/>
                <w:sz w:val="18"/>
                <w:szCs w:val="18"/>
              </w:rPr>
              <w:t>132</w:t>
            </w:r>
          </w:p>
        </w:tc>
        <w:tc>
          <w:tcPr>
            <w:tcW w:w="988" w:type="pct"/>
            <w:shd w:val="clear" w:color="auto" w:fill="auto"/>
            <w:noWrap/>
          </w:tcPr>
          <w:p w:rsidR="002C2D5C" w:rsidRPr="00374C95" w:rsidRDefault="00EB4F6B" w:rsidP="00C378B2">
            <w:pPr>
              <w:spacing w:line="240" w:lineRule="auto"/>
              <w:jc w:val="both"/>
              <w:rPr>
                <w:rFonts w:cstheme="minorHAnsi"/>
                <w:sz w:val="18"/>
                <w:szCs w:val="18"/>
              </w:rPr>
            </w:pPr>
            <w:r>
              <w:rPr>
                <w:rFonts w:cstheme="minorHAnsi"/>
                <w:sz w:val="18"/>
                <w:szCs w:val="18"/>
              </w:rPr>
              <w:t>259</w:t>
            </w:r>
          </w:p>
        </w:tc>
        <w:tc>
          <w:tcPr>
            <w:tcW w:w="988" w:type="pct"/>
            <w:shd w:val="clear" w:color="auto" w:fill="auto"/>
            <w:noWrap/>
          </w:tcPr>
          <w:p w:rsidR="002C2D5C" w:rsidRPr="00374C95" w:rsidRDefault="00EB4F6B" w:rsidP="00C378B2">
            <w:pPr>
              <w:spacing w:line="240" w:lineRule="auto"/>
              <w:jc w:val="both"/>
              <w:rPr>
                <w:rFonts w:cstheme="minorHAnsi"/>
                <w:sz w:val="18"/>
                <w:szCs w:val="18"/>
              </w:rPr>
            </w:pPr>
            <w:r>
              <w:rPr>
                <w:rFonts w:cstheme="minorHAnsi"/>
                <w:sz w:val="18"/>
                <w:szCs w:val="18"/>
              </w:rPr>
              <w:t>127</w:t>
            </w:r>
          </w:p>
        </w:tc>
        <w:tc>
          <w:tcPr>
            <w:tcW w:w="988" w:type="pct"/>
            <w:shd w:val="clear" w:color="auto" w:fill="auto"/>
            <w:noWrap/>
          </w:tcPr>
          <w:p w:rsidR="002C2D5C" w:rsidRPr="00374C95" w:rsidRDefault="00EB4F6B" w:rsidP="00C378B2">
            <w:pPr>
              <w:spacing w:line="240" w:lineRule="auto"/>
              <w:jc w:val="both"/>
              <w:rPr>
                <w:rFonts w:cstheme="minorHAnsi"/>
                <w:sz w:val="18"/>
                <w:szCs w:val="18"/>
              </w:rPr>
            </w:pPr>
            <w:r>
              <w:rPr>
                <w:rFonts w:cstheme="minorHAnsi"/>
                <w:sz w:val="18"/>
                <w:szCs w:val="18"/>
              </w:rPr>
              <w:t>46.8%</w:t>
            </w:r>
          </w:p>
        </w:tc>
      </w:tr>
      <w:tr w:rsidR="002C2D5C" w:rsidRPr="00374C95" w:rsidTr="00EB4F6B">
        <w:trPr>
          <w:trHeight w:val="288"/>
        </w:trPr>
        <w:tc>
          <w:tcPr>
            <w:tcW w:w="1048" w:type="pct"/>
            <w:shd w:val="clear" w:color="auto" w:fill="auto"/>
            <w:noWrap/>
            <w:vAlign w:val="center"/>
            <w:hideMark/>
          </w:tcPr>
          <w:p w:rsidR="002C2D5C" w:rsidRPr="00374C95" w:rsidRDefault="002C2D5C" w:rsidP="00C378B2">
            <w:pPr>
              <w:spacing w:line="240" w:lineRule="auto"/>
              <w:jc w:val="both"/>
              <w:rPr>
                <w:rFonts w:cstheme="minorHAnsi"/>
                <w:sz w:val="18"/>
                <w:szCs w:val="18"/>
              </w:rPr>
            </w:pPr>
            <w:r w:rsidRPr="00374C95">
              <w:rPr>
                <w:rFonts w:cstheme="minorHAnsi"/>
                <w:sz w:val="18"/>
                <w:szCs w:val="18"/>
              </w:rPr>
              <w:t>4 bedrooms</w:t>
            </w:r>
          </w:p>
        </w:tc>
        <w:tc>
          <w:tcPr>
            <w:tcW w:w="988" w:type="pct"/>
            <w:shd w:val="clear" w:color="auto" w:fill="auto"/>
            <w:noWrap/>
          </w:tcPr>
          <w:p w:rsidR="002C2D5C" w:rsidRPr="00374C95" w:rsidRDefault="00EB4F6B" w:rsidP="00C378B2">
            <w:pPr>
              <w:spacing w:line="240" w:lineRule="auto"/>
              <w:jc w:val="both"/>
              <w:rPr>
                <w:rFonts w:cstheme="minorHAnsi"/>
                <w:sz w:val="18"/>
                <w:szCs w:val="18"/>
              </w:rPr>
            </w:pPr>
            <w:r>
              <w:rPr>
                <w:rFonts w:cstheme="minorHAnsi"/>
                <w:sz w:val="18"/>
                <w:szCs w:val="18"/>
              </w:rPr>
              <w:t>239</w:t>
            </w:r>
          </w:p>
        </w:tc>
        <w:tc>
          <w:tcPr>
            <w:tcW w:w="988" w:type="pct"/>
            <w:shd w:val="clear" w:color="auto" w:fill="auto"/>
            <w:noWrap/>
          </w:tcPr>
          <w:p w:rsidR="002C2D5C" w:rsidRPr="00374C95" w:rsidRDefault="00EB4F6B" w:rsidP="00C378B2">
            <w:pPr>
              <w:spacing w:line="240" w:lineRule="auto"/>
              <w:jc w:val="both"/>
              <w:rPr>
                <w:rFonts w:cstheme="minorHAnsi"/>
                <w:sz w:val="18"/>
                <w:szCs w:val="18"/>
              </w:rPr>
            </w:pPr>
            <w:r>
              <w:rPr>
                <w:rFonts w:cstheme="minorHAnsi"/>
                <w:sz w:val="18"/>
                <w:szCs w:val="18"/>
              </w:rPr>
              <w:t>107</w:t>
            </w:r>
          </w:p>
        </w:tc>
        <w:tc>
          <w:tcPr>
            <w:tcW w:w="988" w:type="pct"/>
            <w:shd w:val="clear" w:color="auto" w:fill="auto"/>
            <w:noWrap/>
          </w:tcPr>
          <w:p w:rsidR="002C2D5C" w:rsidRPr="00374C95" w:rsidRDefault="00EB4F6B" w:rsidP="00C378B2">
            <w:pPr>
              <w:spacing w:line="240" w:lineRule="auto"/>
              <w:jc w:val="both"/>
              <w:rPr>
                <w:rFonts w:cstheme="minorHAnsi"/>
                <w:sz w:val="18"/>
                <w:szCs w:val="18"/>
              </w:rPr>
            </w:pPr>
            <w:r>
              <w:rPr>
                <w:rFonts w:cstheme="minorHAnsi"/>
                <w:sz w:val="18"/>
                <w:szCs w:val="18"/>
              </w:rPr>
              <w:t>-132</w:t>
            </w:r>
          </w:p>
        </w:tc>
        <w:tc>
          <w:tcPr>
            <w:tcW w:w="988" w:type="pct"/>
            <w:shd w:val="clear" w:color="auto" w:fill="auto"/>
            <w:noWrap/>
          </w:tcPr>
          <w:p w:rsidR="002C2D5C" w:rsidRPr="00374C95" w:rsidRDefault="00EB4F6B" w:rsidP="00C378B2">
            <w:pPr>
              <w:spacing w:line="240" w:lineRule="auto"/>
              <w:jc w:val="both"/>
              <w:rPr>
                <w:rFonts w:cstheme="minorHAnsi"/>
                <w:sz w:val="18"/>
                <w:szCs w:val="18"/>
              </w:rPr>
            </w:pPr>
            <w:r>
              <w:rPr>
                <w:rFonts w:cstheme="minorHAnsi"/>
                <w:sz w:val="18"/>
                <w:szCs w:val="18"/>
              </w:rPr>
              <w:t>0%</w:t>
            </w:r>
          </w:p>
        </w:tc>
      </w:tr>
      <w:tr w:rsidR="002C2D5C" w:rsidRPr="00374C95" w:rsidTr="00EB4F6B">
        <w:trPr>
          <w:trHeight w:val="288"/>
        </w:trPr>
        <w:tc>
          <w:tcPr>
            <w:tcW w:w="1048" w:type="pct"/>
            <w:shd w:val="clear" w:color="auto" w:fill="auto"/>
            <w:noWrap/>
            <w:vAlign w:val="center"/>
            <w:hideMark/>
          </w:tcPr>
          <w:p w:rsidR="002C2D5C" w:rsidRPr="00374C95" w:rsidRDefault="002C2D5C" w:rsidP="00C378B2">
            <w:pPr>
              <w:spacing w:line="240" w:lineRule="auto"/>
              <w:jc w:val="both"/>
              <w:rPr>
                <w:rFonts w:cstheme="minorHAnsi"/>
                <w:sz w:val="18"/>
                <w:szCs w:val="18"/>
              </w:rPr>
            </w:pPr>
            <w:r w:rsidRPr="00374C95">
              <w:rPr>
                <w:rFonts w:cstheme="minorHAnsi"/>
                <w:sz w:val="18"/>
                <w:szCs w:val="18"/>
              </w:rPr>
              <w:t>5 or more bedrooms</w:t>
            </w:r>
          </w:p>
        </w:tc>
        <w:tc>
          <w:tcPr>
            <w:tcW w:w="988" w:type="pct"/>
            <w:shd w:val="clear" w:color="auto" w:fill="auto"/>
            <w:noWrap/>
          </w:tcPr>
          <w:p w:rsidR="002C2D5C" w:rsidRPr="00374C95" w:rsidRDefault="00EB4F6B" w:rsidP="00C378B2">
            <w:pPr>
              <w:spacing w:line="240" w:lineRule="auto"/>
              <w:jc w:val="both"/>
              <w:rPr>
                <w:rFonts w:cstheme="minorHAnsi"/>
                <w:sz w:val="18"/>
                <w:szCs w:val="18"/>
              </w:rPr>
            </w:pPr>
            <w:r>
              <w:rPr>
                <w:rFonts w:cstheme="minorHAnsi"/>
                <w:sz w:val="18"/>
                <w:szCs w:val="18"/>
              </w:rPr>
              <w:t>91</w:t>
            </w:r>
          </w:p>
        </w:tc>
        <w:tc>
          <w:tcPr>
            <w:tcW w:w="988" w:type="pct"/>
            <w:shd w:val="clear" w:color="auto" w:fill="auto"/>
            <w:noWrap/>
          </w:tcPr>
          <w:p w:rsidR="002C2D5C" w:rsidRPr="00374C95" w:rsidRDefault="00EB4F6B" w:rsidP="00C378B2">
            <w:pPr>
              <w:spacing w:line="240" w:lineRule="auto"/>
              <w:jc w:val="both"/>
              <w:rPr>
                <w:rFonts w:cstheme="minorHAnsi"/>
                <w:sz w:val="18"/>
                <w:szCs w:val="18"/>
              </w:rPr>
            </w:pPr>
            <w:r>
              <w:rPr>
                <w:rFonts w:cstheme="minorHAnsi"/>
                <w:sz w:val="18"/>
                <w:szCs w:val="18"/>
              </w:rPr>
              <w:t>25</w:t>
            </w:r>
          </w:p>
        </w:tc>
        <w:tc>
          <w:tcPr>
            <w:tcW w:w="988" w:type="pct"/>
            <w:shd w:val="clear" w:color="auto" w:fill="auto"/>
            <w:noWrap/>
          </w:tcPr>
          <w:p w:rsidR="002C2D5C" w:rsidRPr="00374C95" w:rsidRDefault="00EB4F6B" w:rsidP="00C378B2">
            <w:pPr>
              <w:spacing w:line="240" w:lineRule="auto"/>
              <w:jc w:val="both"/>
              <w:rPr>
                <w:rFonts w:cstheme="minorHAnsi"/>
                <w:sz w:val="18"/>
                <w:szCs w:val="18"/>
              </w:rPr>
            </w:pPr>
            <w:r>
              <w:rPr>
                <w:rFonts w:cstheme="minorHAnsi"/>
                <w:sz w:val="18"/>
                <w:szCs w:val="18"/>
              </w:rPr>
              <w:t>-66</w:t>
            </w:r>
          </w:p>
        </w:tc>
        <w:tc>
          <w:tcPr>
            <w:tcW w:w="988" w:type="pct"/>
            <w:shd w:val="clear" w:color="auto" w:fill="auto"/>
            <w:noWrap/>
          </w:tcPr>
          <w:p w:rsidR="002C2D5C" w:rsidRPr="00374C95" w:rsidRDefault="00EB4F6B" w:rsidP="00C378B2">
            <w:pPr>
              <w:spacing w:line="240" w:lineRule="auto"/>
              <w:jc w:val="both"/>
              <w:rPr>
                <w:rFonts w:cstheme="minorHAnsi"/>
                <w:sz w:val="18"/>
                <w:szCs w:val="18"/>
              </w:rPr>
            </w:pPr>
            <w:r>
              <w:rPr>
                <w:rFonts w:cstheme="minorHAnsi"/>
                <w:sz w:val="18"/>
                <w:szCs w:val="18"/>
              </w:rPr>
              <w:t>0%</w:t>
            </w:r>
          </w:p>
        </w:tc>
      </w:tr>
    </w:tbl>
    <w:p w:rsidR="002C2D5C" w:rsidRPr="00374C95" w:rsidRDefault="002C2D5C" w:rsidP="002C2D5C">
      <w:pPr>
        <w:pStyle w:val="Source"/>
        <w:jc w:val="both"/>
        <w:rPr>
          <w:sz w:val="18"/>
          <w:szCs w:val="18"/>
          <w:lang w:val="en-GB"/>
        </w:rPr>
      </w:pPr>
      <w:r w:rsidRPr="00374C95">
        <w:rPr>
          <w:sz w:val="18"/>
          <w:szCs w:val="18"/>
          <w:lang w:val="en-GB"/>
        </w:rPr>
        <w:t>Source: AECOM Calculations</w:t>
      </w:r>
    </w:p>
    <w:p w:rsidR="0039435D" w:rsidRPr="0039435D" w:rsidRDefault="0039435D" w:rsidP="0039435D">
      <w:pPr>
        <w:pStyle w:val="ListNumber"/>
        <w:rPr>
          <w:sz w:val="18"/>
          <w:szCs w:val="18"/>
          <w:lang w:val="en-GB"/>
        </w:rPr>
      </w:pPr>
      <w:r w:rsidRPr="0039435D">
        <w:rPr>
          <w:sz w:val="18"/>
          <w:szCs w:val="18"/>
          <w:lang w:val="en-GB"/>
        </w:rPr>
        <w:t xml:space="preserve">Note that the changes to the housing mix given above for four or more bedroom dwellings are negative numbers. Because in light of the national and local housing shortage, it is rarely advisable or practicable to remove dwellings from the available stock, as would otherwise be suggested here for dwellings with three or more bedrooms, we have instead set the recommended split at 0% rather than a negative number, and rebalanced the other sizes as percentages of the additional dwellings they represent in total. </w:t>
      </w:r>
    </w:p>
    <w:p w:rsidR="0039435D" w:rsidRPr="00D7476C" w:rsidRDefault="0039435D" w:rsidP="0039435D">
      <w:pPr>
        <w:pStyle w:val="ListNumber"/>
        <w:spacing w:before="0"/>
        <w:jc w:val="both"/>
        <w:rPr>
          <w:sz w:val="18"/>
          <w:szCs w:val="18"/>
          <w:lang w:val="en-GB"/>
        </w:rPr>
      </w:pPr>
      <w:r>
        <w:rPr>
          <w:sz w:val="18"/>
          <w:szCs w:val="18"/>
          <w:lang w:val="en-GB"/>
        </w:rPr>
        <w:t>Note also that only the percentage mix in the right-hand column is relevant to the purposes of this HNA and the neighbourhood planning process. The actual numbers of dwellings required to adjust the size mix do not reflect that actual quantity of housing needed in the NA and are simply a step in the calculation necessary to produce a percentage split. As a general point, this dwelling mix in percentage terms stands alone from the overall quantity of housing needed or allocated over the Plan period, and could equally apply to windfall development, allocations beyond the plan period, or any other source of housing supply.</w:t>
      </w:r>
    </w:p>
    <w:p w:rsidR="002C2D5C" w:rsidRDefault="0058175D" w:rsidP="002C2D5C">
      <w:pPr>
        <w:pStyle w:val="ListNumber"/>
        <w:spacing w:before="0"/>
        <w:jc w:val="both"/>
        <w:rPr>
          <w:sz w:val="18"/>
          <w:szCs w:val="18"/>
          <w:lang w:val="en-GB"/>
        </w:rPr>
      </w:pPr>
      <w:r>
        <w:rPr>
          <w:sz w:val="18"/>
          <w:szCs w:val="18"/>
          <w:lang w:val="en-GB"/>
        </w:rPr>
        <w:t xml:space="preserve">The result of </w:t>
      </w:r>
      <w:r w:rsidR="0039435D">
        <w:rPr>
          <w:sz w:val="18"/>
          <w:szCs w:val="18"/>
          <w:lang w:val="en-GB"/>
        </w:rPr>
        <w:t>this</w:t>
      </w:r>
      <w:r w:rsidR="008A29FC" w:rsidRPr="0058175D">
        <w:rPr>
          <w:sz w:val="18"/>
          <w:szCs w:val="18"/>
          <w:lang w:val="en-GB"/>
        </w:rPr>
        <w:t xml:space="preserve"> modelling exercise</w:t>
      </w:r>
      <w:r w:rsidR="000F4C55">
        <w:rPr>
          <w:sz w:val="18"/>
          <w:szCs w:val="18"/>
          <w:lang w:val="en-GB"/>
        </w:rPr>
        <w:t xml:space="preserve"> </w:t>
      </w:r>
      <w:r w:rsidR="0039435D">
        <w:rPr>
          <w:sz w:val="18"/>
          <w:szCs w:val="18"/>
          <w:lang w:val="en-GB"/>
        </w:rPr>
        <w:t>is</w:t>
      </w:r>
      <w:r w:rsidR="000F4C55">
        <w:rPr>
          <w:sz w:val="18"/>
          <w:szCs w:val="18"/>
          <w:lang w:val="en-GB"/>
        </w:rPr>
        <w:t xml:space="preserve"> that, in terms of demographic change</w:t>
      </w:r>
      <w:r w:rsidR="008A29FC" w:rsidRPr="0058175D">
        <w:rPr>
          <w:sz w:val="18"/>
          <w:szCs w:val="18"/>
          <w:lang w:val="en-GB"/>
        </w:rPr>
        <w:t>,</w:t>
      </w:r>
      <w:r w:rsidR="000F4C55">
        <w:rPr>
          <w:sz w:val="18"/>
          <w:szCs w:val="18"/>
          <w:lang w:val="en-GB"/>
        </w:rPr>
        <w:t xml:space="preserve"> new development </w:t>
      </w:r>
      <w:r w:rsidR="0039435D">
        <w:rPr>
          <w:sz w:val="18"/>
          <w:szCs w:val="18"/>
          <w:lang w:val="en-GB"/>
        </w:rPr>
        <w:t>should be focussed on providing 2 and 3 bedroom dwellings (which are currently undersupplied) at the expense of larger homes.</w:t>
      </w:r>
    </w:p>
    <w:p w:rsidR="0039435D" w:rsidRPr="0039435D" w:rsidRDefault="0039435D" w:rsidP="0039435D">
      <w:pPr>
        <w:pStyle w:val="ListNumber"/>
        <w:rPr>
          <w:sz w:val="18"/>
          <w:szCs w:val="18"/>
          <w:lang w:val="en-GB"/>
        </w:rPr>
      </w:pPr>
      <w:r w:rsidRPr="0039435D">
        <w:rPr>
          <w:sz w:val="18"/>
          <w:szCs w:val="18"/>
          <w:lang w:val="en-GB"/>
        </w:rPr>
        <w:t xml:space="preserve">Efforts to change the dwelling mix in this smaller direction would help to allow a growing older cohort of households to </w:t>
      </w:r>
      <w:proofErr w:type="spellStart"/>
      <w:r w:rsidRPr="0039435D">
        <w:rPr>
          <w:sz w:val="18"/>
          <w:szCs w:val="18"/>
          <w:lang w:val="en-GB"/>
        </w:rPr>
        <w:t>rightsize</w:t>
      </w:r>
      <w:proofErr w:type="spellEnd"/>
      <w:r w:rsidRPr="0039435D">
        <w:rPr>
          <w:sz w:val="18"/>
          <w:szCs w:val="18"/>
          <w:lang w:val="en-GB"/>
        </w:rPr>
        <w:t xml:space="preserve"> within their existing community if they wish to, and younger people to be able to move into suitably sized first homes, while leaving enough of the larger existing homes to meet demand from families</w:t>
      </w:r>
      <w:r>
        <w:rPr>
          <w:sz w:val="18"/>
          <w:szCs w:val="18"/>
          <w:lang w:val="en-GB"/>
        </w:rPr>
        <w:t>.</w:t>
      </w:r>
    </w:p>
    <w:p w:rsidR="0039435D" w:rsidRPr="0039435D" w:rsidRDefault="0039435D">
      <w:pPr>
        <w:pStyle w:val="ListNumber"/>
        <w:spacing w:before="0"/>
        <w:jc w:val="both"/>
        <w:rPr>
          <w:sz w:val="18"/>
          <w:szCs w:val="18"/>
          <w:lang w:val="en-GB"/>
        </w:rPr>
      </w:pPr>
      <w:r w:rsidRPr="0039435D">
        <w:rPr>
          <w:sz w:val="18"/>
          <w:szCs w:val="18"/>
          <w:lang w:val="en-GB"/>
        </w:rPr>
        <w:t xml:space="preserve">However, this recommendation should be applied with a degree of flexibility because it may not be reasonable in practice strictly to limit the provision of dwellings with four or more bedrooms, and in fact, such a restriction has the potential to negatively impact the viability of sites that could help to deliver Affordable Housing or other community priorities. It should also be noted that this report is concerned with demand in the sense of need rather than in the sense of the preferences of potential occupants, which will likely include demand for larger homes. There may also be good reasons to deliver larger properties in the NA as part of </w:t>
      </w:r>
      <w:proofErr w:type="gramStart"/>
      <w:r w:rsidRPr="0039435D">
        <w:rPr>
          <w:sz w:val="18"/>
          <w:szCs w:val="18"/>
          <w:lang w:val="en-GB"/>
        </w:rPr>
        <w:t>a housing</w:t>
      </w:r>
      <w:proofErr w:type="gramEnd"/>
      <w:r w:rsidRPr="0039435D">
        <w:rPr>
          <w:sz w:val="18"/>
          <w:szCs w:val="18"/>
          <w:lang w:val="en-GB"/>
        </w:rPr>
        <w:t xml:space="preserve"> mix strategy in the district as a whole</w:t>
      </w:r>
      <w:r>
        <w:rPr>
          <w:sz w:val="18"/>
          <w:szCs w:val="18"/>
          <w:lang w:val="en-GB"/>
        </w:rPr>
        <w:t>.</w:t>
      </w:r>
    </w:p>
    <w:p w:rsidR="002C2D5C" w:rsidRDefault="002C2D5C" w:rsidP="002C2D5C">
      <w:pPr>
        <w:pStyle w:val="Heading2"/>
        <w:jc w:val="both"/>
      </w:pPr>
      <w:bookmarkStart w:id="141" w:name="_Toc33015871"/>
      <w:r w:rsidRPr="00D9035D">
        <w:t>Conclusions</w:t>
      </w:r>
      <w:r w:rsidR="00BB090C">
        <w:t>- Type and S</w:t>
      </w:r>
      <w:r w:rsidR="001E3D91">
        <w:t>ize</w:t>
      </w:r>
      <w:bookmarkEnd w:id="141"/>
    </w:p>
    <w:p w:rsidR="00416DFC" w:rsidRDefault="00416DFC" w:rsidP="001E3D91">
      <w:pPr>
        <w:pStyle w:val="ListNumber"/>
        <w:widowControl w:val="0"/>
        <w:jc w:val="both"/>
        <w:rPr>
          <w:sz w:val="18"/>
          <w:szCs w:val="18"/>
        </w:rPr>
      </w:pPr>
      <w:r>
        <w:rPr>
          <w:sz w:val="18"/>
          <w:szCs w:val="18"/>
        </w:rPr>
        <w:t xml:space="preserve">This analysis provides an indication of the likely need for different types and sizes of homes based on demographic change. It is important to remember that other factors should be considered in determining the dwelling mix that is </w:t>
      </w:r>
      <w:r>
        <w:rPr>
          <w:sz w:val="18"/>
          <w:szCs w:val="18"/>
        </w:rPr>
        <w:lastRenderedPageBreak/>
        <w:t>desirable in the NA or on any particular site. These include the characteristics of the existing stock of housing, the role of the NA or site within the wider housing market area (linked to any LA strategies or plans) and site specific factors which may justify a particular dwelling mix.</w:t>
      </w:r>
    </w:p>
    <w:p w:rsidR="00C45EC9" w:rsidRDefault="00C45EC9" w:rsidP="001E3D91">
      <w:pPr>
        <w:pStyle w:val="ListNumber"/>
        <w:widowControl w:val="0"/>
        <w:jc w:val="both"/>
        <w:rPr>
          <w:sz w:val="18"/>
          <w:szCs w:val="18"/>
        </w:rPr>
      </w:pPr>
      <w:r>
        <w:rPr>
          <w:sz w:val="18"/>
          <w:szCs w:val="18"/>
        </w:rPr>
        <w:t xml:space="preserve">Reedham’s stock of existing housing is characterised by significantly higher proportions of detached houses and homes with </w:t>
      </w:r>
      <w:r w:rsidR="00A63374">
        <w:rPr>
          <w:sz w:val="18"/>
          <w:szCs w:val="18"/>
        </w:rPr>
        <w:t>3 bedrooms which is similar to Reedham and the rest of the UK</w:t>
      </w:r>
      <w:r>
        <w:rPr>
          <w:sz w:val="18"/>
          <w:szCs w:val="18"/>
        </w:rPr>
        <w:t>.</w:t>
      </w:r>
      <w:r w:rsidR="006E5135">
        <w:rPr>
          <w:sz w:val="18"/>
          <w:szCs w:val="18"/>
        </w:rPr>
        <w:t xml:space="preserve"> In addition, Reedham has no 1 bedroom units and a lack of two bedroom units.</w:t>
      </w:r>
    </w:p>
    <w:p w:rsidR="00C45EC9" w:rsidRDefault="00C45EC9" w:rsidP="001E3D91">
      <w:pPr>
        <w:pStyle w:val="ListNumber"/>
        <w:widowControl w:val="0"/>
        <w:jc w:val="both"/>
        <w:rPr>
          <w:sz w:val="18"/>
          <w:szCs w:val="18"/>
        </w:rPr>
      </w:pPr>
      <w:r>
        <w:rPr>
          <w:sz w:val="18"/>
          <w:szCs w:val="18"/>
        </w:rPr>
        <w:t xml:space="preserve">Detached </w:t>
      </w:r>
      <w:r w:rsidR="0034566E">
        <w:rPr>
          <w:sz w:val="18"/>
          <w:szCs w:val="18"/>
        </w:rPr>
        <w:t xml:space="preserve">housing represents a higher proportion of all housing in Reedham compared to the situation across England as a whole. 46.4% of houses within Reedham are detached compared to 22.4% in England. </w:t>
      </w:r>
    </w:p>
    <w:p w:rsidR="00255CC9" w:rsidRDefault="00255CC9" w:rsidP="00255CC9">
      <w:pPr>
        <w:pStyle w:val="ListNumber"/>
        <w:jc w:val="both"/>
        <w:rPr>
          <w:sz w:val="18"/>
        </w:rPr>
      </w:pPr>
      <w:r>
        <w:rPr>
          <w:sz w:val="18"/>
        </w:rPr>
        <w:t xml:space="preserve">The age profile of the Reedham population is broadly similar to that of the wider Borough, except for </w:t>
      </w:r>
      <w:r w:rsidRPr="0091552C">
        <w:rPr>
          <w:sz w:val="18"/>
        </w:rPr>
        <w:t>a substantially higher share of the population aged 45-</w:t>
      </w:r>
      <w:r>
        <w:rPr>
          <w:sz w:val="18"/>
        </w:rPr>
        <w:t>8</w:t>
      </w:r>
      <w:r w:rsidRPr="0091552C">
        <w:rPr>
          <w:sz w:val="18"/>
        </w:rPr>
        <w:t xml:space="preserve">4 – a group that is likely to reach retirement age over the Plan period to 2034 and will become </w:t>
      </w:r>
      <w:r w:rsidR="00600644">
        <w:rPr>
          <w:sz w:val="18"/>
        </w:rPr>
        <w:t>a</w:t>
      </w:r>
      <w:r w:rsidRPr="0091552C">
        <w:rPr>
          <w:sz w:val="18"/>
        </w:rPr>
        <w:t xml:space="preserve"> source of demand for housing, whether they intend to occupy the same dwellings they currently live in, or perhaps move within the community to a home better suited to the size of their household or their evolving needs.</w:t>
      </w:r>
      <w:r w:rsidR="00600644" w:rsidRPr="00600644">
        <w:rPr>
          <w:sz w:val="18"/>
          <w:szCs w:val="18"/>
        </w:rPr>
        <w:t xml:space="preserve"> </w:t>
      </w:r>
      <w:r w:rsidR="00600644">
        <w:rPr>
          <w:sz w:val="18"/>
          <w:szCs w:val="18"/>
        </w:rPr>
        <w:t xml:space="preserve">In addition, the younger age brackets, particularly children aged 0-15 and 16-24 year olds have also increased. This suggests that more families are </w:t>
      </w:r>
      <w:r w:rsidR="00F33F0A">
        <w:rPr>
          <w:sz w:val="18"/>
          <w:szCs w:val="18"/>
        </w:rPr>
        <w:t xml:space="preserve">able to </w:t>
      </w:r>
      <w:r w:rsidR="00600644">
        <w:rPr>
          <w:sz w:val="18"/>
          <w:szCs w:val="18"/>
        </w:rPr>
        <w:t>mov</w:t>
      </w:r>
      <w:r w:rsidR="00F33F0A">
        <w:rPr>
          <w:sz w:val="18"/>
          <w:szCs w:val="18"/>
        </w:rPr>
        <w:t>e</w:t>
      </w:r>
      <w:r w:rsidR="00600644">
        <w:rPr>
          <w:sz w:val="18"/>
          <w:szCs w:val="18"/>
        </w:rPr>
        <w:t xml:space="preserve"> to the area</w:t>
      </w:r>
      <w:r w:rsidR="00F33F0A">
        <w:rPr>
          <w:sz w:val="18"/>
          <w:szCs w:val="18"/>
        </w:rPr>
        <w:t xml:space="preserve">’s sufficient provision </w:t>
      </w:r>
      <w:r w:rsidR="00600644">
        <w:rPr>
          <w:sz w:val="18"/>
          <w:szCs w:val="18"/>
        </w:rPr>
        <w:t>of suitable dwelling</w:t>
      </w:r>
      <w:r w:rsidR="00F33F0A">
        <w:rPr>
          <w:sz w:val="18"/>
          <w:szCs w:val="18"/>
        </w:rPr>
        <w:t>s</w:t>
      </w:r>
      <w:r w:rsidR="00600644">
        <w:rPr>
          <w:sz w:val="18"/>
          <w:szCs w:val="18"/>
        </w:rPr>
        <w:t xml:space="preserve"> (2-4 bedroom homes).</w:t>
      </w:r>
    </w:p>
    <w:p w:rsidR="00B93262" w:rsidRPr="0091552C" w:rsidRDefault="00B93262" w:rsidP="00255CC9">
      <w:pPr>
        <w:pStyle w:val="ListNumber"/>
        <w:jc w:val="both"/>
        <w:rPr>
          <w:sz w:val="18"/>
        </w:rPr>
      </w:pPr>
      <w:r>
        <w:rPr>
          <w:sz w:val="18"/>
        </w:rPr>
        <w:t>Seen in</w:t>
      </w:r>
      <w:r w:rsidR="00FA0716">
        <w:rPr>
          <w:sz w:val="18"/>
        </w:rPr>
        <w:t xml:space="preserve"> the context of</w:t>
      </w:r>
      <w:r>
        <w:rPr>
          <w:sz w:val="18"/>
        </w:rPr>
        <w:t xml:space="preserve"> Reedham’s compar</w:t>
      </w:r>
      <w:r w:rsidR="00FA0716">
        <w:rPr>
          <w:sz w:val="18"/>
        </w:rPr>
        <w:t>atively</w:t>
      </w:r>
      <w:r>
        <w:rPr>
          <w:sz w:val="18"/>
        </w:rPr>
        <w:t xml:space="preserve"> large stock of dwellings, trends towards older households and </w:t>
      </w:r>
      <w:r w:rsidR="00600644">
        <w:rPr>
          <w:sz w:val="18"/>
        </w:rPr>
        <w:t>young families</w:t>
      </w:r>
      <w:r>
        <w:rPr>
          <w:sz w:val="18"/>
        </w:rPr>
        <w:t xml:space="preserve"> may warrant</w:t>
      </w:r>
      <w:r w:rsidR="00FA0716">
        <w:rPr>
          <w:sz w:val="18"/>
        </w:rPr>
        <w:t xml:space="preserve"> a Neighbourhood Plan policy intervention to restrict the future supply of </w:t>
      </w:r>
      <w:r w:rsidR="00F33F0A">
        <w:rPr>
          <w:sz w:val="18"/>
        </w:rPr>
        <w:t xml:space="preserve">very </w:t>
      </w:r>
      <w:r w:rsidR="00FA0716">
        <w:rPr>
          <w:sz w:val="18"/>
        </w:rPr>
        <w:t xml:space="preserve">large dwellings to some extent. </w:t>
      </w:r>
      <w:r w:rsidR="00600644">
        <w:rPr>
          <w:sz w:val="18"/>
        </w:rPr>
        <w:t xml:space="preserve">Therefore, </w:t>
      </w:r>
      <w:r w:rsidR="00FA0716">
        <w:rPr>
          <w:sz w:val="18"/>
        </w:rPr>
        <w:t xml:space="preserve">it may be </w:t>
      </w:r>
      <w:r w:rsidR="00600644">
        <w:rPr>
          <w:sz w:val="18"/>
        </w:rPr>
        <w:t>beneficial</w:t>
      </w:r>
      <w:r w:rsidR="00FA0716">
        <w:rPr>
          <w:sz w:val="18"/>
        </w:rPr>
        <w:t xml:space="preserve"> also to encourage the provision of mid-sized housing suitable for this demand segment.</w:t>
      </w:r>
    </w:p>
    <w:p w:rsidR="00255CC9" w:rsidRPr="00327DD3" w:rsidRDefault="00255CC9" w:rsidP="00255CC9">
      <w:pPr>
        <w:pStyle w:val="ListNumber"/>
        <w:jc w:val="both"/>
        <w:rPr>
          <w:sz w:val="18"/>
        </w:rPr>
      </w:pPr>
      <w:r>
        <w:rPr>
          <w:color w:val="auto"/>
          <w:sz w:val="18"/>
        </w:rPr>
        <w:t>The results of a life-stage modelling exercise, which looks at the sizes of dwelling occupied by different age groups and projects the growth and decline of those age groups over the Plan period in order to understand what should be built, corroborates this finding. The recommended size mix of new housing focuses on dwellings of 1 to 3 bedrooms, and suggests that no further large dwellings are needed.</w:t>
      </w:r>
    </w:p>
    <w:p w:rsidR="00255CC9" w:rsidRPr="00A63374" w:rsidRDefault="002D4FEB" w:rsidP="001E3D91">
      <w:pPr>
        <w:pStyle w:val="ListNumber"/>
        <w:widowControl w:val="0"/>
        <w:jc w:val="both"/>
        <w:rPr>
          <w:sz w:val="18"/>
          <w:szCs w:val="18"/>
        </w:rPr>
      </w:pPr>
      <w:r>
        <w:rPr>
          <w:color w:val="auto"/>
          <w:sz w:val="18"/>
        </w:rPr>
        <w:t>This model, however, operates on the assumption that households can and will wish to move freely around the stock of existing housing, which is not a realistic prospect. It is natural, then, that demand should continue for some larger dwellings. The provision of larger homes should not be inhibited entirely (though some of that demand will be met by natural churn within the market), but to the extent that the Reedham Parish Council wish to influence the size mix of housing coming forward, smaller homes should be the priority</w:t>
      </w:r>
      <w:r w:rsidR="00EE5E06">
        <w:rPr>
          <w:color w:val="auto"/>
          <w:sz w:val="18"/>
        </w:rPr>
        <w:t>.</w:t>
      </w:r>
    </w:p>
    <w:p w:rsidR="00EE5E06" w:rsidRPr="00B56BBA" w:rsidRDefault="00EE5E06" w:rsidP="00EE5E06">
      <w:pPr>
        <w:pStyle w:val="ListNumber"/>
        <w:rPr>
          <w:sz w:val="18"/>
        </w:rPr>
      </w:pPr>
      <w:r w:rsidRPr="00901962">
        <w:rPr>
          <w:sz w:val="18"/>
        </w:rPr>
        <w:t xml:space="preserve">In the Tenure and Affordability chapter analysis, it was found that market housing for </w:t>
      </w:r>
      <w:r>
        <w:rPr>
          <w:sz w:val="18"/>
        </w:rPr>
        <w:t>sale (as opposed to market housing for rent and all types of Affordable Housing)</w:t>
      </w:r>
      <w:r w:rsidRPr="00901962">
        <w:rPr>
          <w:sz w:val="18"/>
        </w:rPr>
        <w:t xml:space="preserve"> is increasingly unaffordable and that those on the lowest incomes are unable to afford to live outside of the </w:t>
      </w:r>
      <w:r>
        <w:rPr>
          <w:sz w:val="18"/>
        </w:rPr>
        <w:t xml:space="preserve">affordable </w:t>
      </w:r>
      <w:r w:rsidRPr="00901962">
        <w:rPr>
          <w:sz w:val="18"/>
        </w:rPr>
        <w:t xml:space="preserve">rented sector. While Affordable Housing should be well balanced in terms of size to cater for all circumstances, the provision of smaller homes for sale and </w:t>
      </w:r>
      <w:r w:rsidRPr="00B56BBA">
        <w:rPr>
          <w:sz w:val="18"/>
        </w:rPr>
        <w:t xml:space="preserve">rent, as advised here, should make an important contribution to improving affordability more widely. If older households wishing to </w:t>
      </w:r>
      <w:proofErr w:type="spellStart"/>
      <w:r w:rsidRPr="00B56BBA">
        <w:rPr>
          <w:sz w:val="18"/>
        </w:rPr>
        <w:t>rightsize</w:t>
      </w:r>
      <w:proofErr w:type="spellEnd"/>
      <w:r w:rsidRPr="00B56BBA">
        <w:rPr>
          <w:sz w:val="18"/>
        </w:rPr>
        <w:t xml:space="preserve"> and younger ones seeking to form their own independent households are to be able to afford to live in </w:t>
      </w:r>
      <w:r>
        <w:rPr>
          <w:sz w:val="18"/>
        </w:rPr>
        <w:t>Reedham</w:t>
      </w:r>
      <w:r w:rsidRPr="00B56BBA">
        <w:rPr>
          <w:sz w:val="18"/>
        </w:rPr>
        <w:t>, increasing the provision of small and mid-size homes and, in so doing, rebalancing the housing stock away from very large housing, will be key.</w:t>
      </w:r>
    </w:p>
    <w:p w:rsidR="00EE5E06" w:rsidRPr="00A63374" w:rsidRDefault="00EE5E06" w:rsidP="00A63374">
      <w:pPr>
        <w:pStyle w:val="ListNumber"/>
        <w:rPr>
          <w:color w:val="000000" w:themeColor="text1"/>
          <w:sz w:val="18"/>
        </w:rPr>
      </w:pPr>
      <w:r w:rsidRPr="00B56BBA">
        <w:rPr>
          <w:color w:val="000000" w:themeColor="text1"/>
          <w:sz w:val="18"/>
        </w:rPr>
        <w:t xml:space="preserve">In terms of the types of dwellings required, the current predominance of detached dwellings, compared with national trends, suggests that there may be some unmet demand for the rarer and generally more affordable dwelling types, such as terraced homes and particularly flats. The size recommendation for smaller homes would align with this. This might also include the delivery of bungalows in order to meet the needs of some older households and to reflect the fact that other smaller dwelling types, such as apartments, may not in practice be popular market propositions in a rural area like </w:t>
      </w:r>
      <w:r>
        <w:rPr>
          <w:color w:val="000000" w:themeColor="text1"/>
          <w:sz w:val="18"/>
        </w:rPr>
        <w:t>Reedham</w:t>
      </w:r>
      <w:r w:rsidRPr="00B56BBA">
        <w:rPr>
          <w:color w:val="000000" w:themeColor="text1"/>
          <w:sz w:val="18"/>
        </w:rPr>
        <w:t>.</w:t>
      </w:r>
      <w:r>
        <w:rPr>
          <w:color w:val="000000" w:themeColor="text1"/>
          <w:sz w:val="18"/>
        </w:rPr>
        <w:t xml:space="preserve"> </w:t>
      </w:r>
    </w:p>
    <w:p w:rsidR="00C45EC9" w:rsidRPr="003E763A" w:rsidRDefault="002C2D5C">
      <w:pPr>
        <w:pStyle w:val="ListBullet"/>
        <w:spacing w:before="0" w:line="240" w:lineRule="atLeast"/>
        <w:jc w:val="both"/>
      </w:pPr>
      <w:r>
        <w:br w:type="page"/>
      </w:r>
    </w:p>
    <w:p w:rsidR="002C2D5C" w:rsidRPr="00C63C56" w:rsidRDefault="002C2D5C" w:rsidP="002C2D5C">
      <w:pPr>
        <w:pStyle w:val="Heading1"/>
        <w:jc w:val="both"/>
        <w:rPr>
          <w:lang w:val="en-US"/>
        </w:rPr>
      </w:pPr>
      <w:bookmarkStart w:id="142" w:name="_Toc33015872"/>
      <w:bookmarkEnd w:id="60"/>
      <w:r w:rsidRPr="00C63C56">
        <w:rPr>
          <w:lang w:val="en-US"/>
        </w:rPr>
        <w:lastRenderedPageBreak/>
        <w:t>Conclusions</w:t>
      </w:r>
      <w:bookmarkEnd w:id="61"/>
      <w:bookmarkEnd w:id="62"/>
      <w:bookmarkEnd w:id="142"/>
    </w:p>
    <w:p w:rsidR="002C2D5C" w:rsidRDefault="002C2D5C" w:rsidP="002C2D5C">
      <w:pPr>
        <w:pStyle w:val="Heading2"/>
        <w:jc w:val="both"/>
      </w:pPr>
      <w:bookmarkStart w:id="143" w:name="_Toc445878370"/>
      <w:bookmarkStart w:id="144" w:name="_Toc461696228"/>
      <w:bookmarkStart w:id="145" w:name="_Toc33015873"/>
      <w:bookmarkStart w:id="146" w:name="_Toc425332021"/>
      <w:r w:rsidRPr="00C63C56">
        <w:t>Overview</w:t>
      </w:r>
      <w:bookmarkEnd w:id="143"/>
      <w:bookmarkEnd w:id="144"/>
      <w:bookmarkEnd w:id="145"/>
    </w:p>
    <w:bookmarkStart w:id="147" w:name="_Ref7965312"/>
    <w:p w:rsidR="0042428A" w:rsidRPr="0042428A" w:rsidRDefault="001A69AC" w:rsidP="0042428A">
      <w:pPr>
        <w:pStyle w:val="ListNumber"/>
        <w:rPr>
          <w:b/>
          <w:sz w:val="18"/>
        </w:rPr>
      </w:pPr>
      <w:r w:rsidRPr="0042428A">
        <w:rPr>
          <w:b/>
          <w:sz w:val="18"/>
        </w:rPr>
        <w:fldChar w:fldCharType="begin"/>
      </w:r>
      <w:r w:rsidR="0042428A" w:rsidRPr="0042428A">
        <w:rPr>
          <w:sz w:val="18"/>
        </w:rPr>
        <w:instrText xml:space="preserve"> REF _Ref7965312 \h </w:instrText>
      </w:r>
      <w:r w:rsidR="0042428A" w:rsidRPr="0042428A">
        <w:rPr>
          <w:rStyle w:val="Hyperlink1"/>
          <w:color w:val="00B5E2" w:themeColor="accent1"/>
          <w:sz w:val="20"/>
          <w:szCs w:val="18"/>
          <w:u w:val="none"/>
        </w:rPr>
        <w:instrText xml:space="preserve"> \* MERGEFORMAT </w:instrText>
      </w:r>
      <w:r w:rsidRPr="0042428A">
        <w:rPr>
          <w:b/>
          <w:sz w:val="18"/>
        </w:rPr>
      </w:r>
      <w:r w:rsidRPr="0042428A">
        <w:rPr>
          <w:b/>
          <w:sz w:val="18"/>
        </w:rPr>
        <w:fldChar w:fldCharType="separate"/>
      </w:r>
      <w:r w:rsidR="0042428A" w:rsidRPr="0042428A">
        <w:rPr>
          <w:sz w:val="18"/>
        </w:rPr>
        <w:t>Table 11</w:t>
      </w:r>
      <w:r w:rsidR="0042428A" w:rsidRPr="0042428A">
        <w:rPr>
          <w:sz w:val="18"/>
        </w:rPr>
        <w:noBreakHyphen/>
        <w:t>1</w:t>
      </w:r>
      <w:r w:rsidRPr="0042428A">
        <w:rPr>
          <w:b/>
          <w:sz w:val="18"/>
        </w:rPr>
        <w:fldChar w:fldCharType="end"/>
      </w:r>
      <w:r w:rsidR="0042428A" w:rsidRPr="0042428A">
        <w:rPr>
          <w:sz w:val="18"/>
        </w:rPr>
        <w:t xml:space="preserve"> below sets out in full the conclusions and recommendations of this Neighbourhood Plan housing needs assessment, based on the evidence reviewed and analysed</w:t>
      </w:r>
    </w:p>
    <w:p w:rsidR="00965CE9" w:rsidRDefault="002C2D5C" w:rsidP="00761BB7">
      <w:pPr>
        <w:pStyle w:val="Caption"/>
      </w:pPr>
      <w:r w:rsidRPr="0056108C">
        <w:t xml:space="preserve">Table </w:t>
      </w:r>
      <w:r w:rsidR="001A69AC" w:rsidRPr="0056108C">
        <w:rPr>
          <w:noProof/>
        </w:rPr>
        <w:fldChar w:fldCharType="begin"/>
      </w:r>
      <w:r w:rsidRPr="0056108C">
        <w:rPr>
          <w:noProof/>
        </w:rPr>
        <w:instrText xml:space="preserve"> STYLEREF 1 \s </w:instrText>
      </w:r>
      <w:r w:rsidR="001A69AC" w:rsidRPr="0056108C">
        <w:rPr>
          <w:noProof/>
        </w:rPr>
        <w:fldChar w:fldCharType="separate"/>
      </w:r>
      <w:r w:rsidR="00E14AFB" w:rsidRPr="0056108C">
        <w:rPr>
          <w:noProof/>
        </w:rPr>
        <w:t>11</w:t>
      </w:r>
      <w:r w:rsidR="001A69AC" w:rsidRPr="0056108C">
        <w:rPr>
          <w:noProof/>
        </w:rPr>
        <w:fldChar w:fldCharType="end"/>
      </w:r>
      <w:r w:rsidRPr="0056108C">
        <w:noBreakHyphen/>
      </w:r>
      <w:r w:rsidR="001A69AC" w:rsidRPr="0056108C">
        <w:rPr>
          <w:noProof/>
        </w:rPr>
        <w:fldChar w:fldCharType="begin"/>
      </w:r>
      <w:r w:rsidRPr="0056108C">
        <w:rPr>
          <w:noProof/>
        </w:rPr>
        <w:instrText xml:space="preserve"> SEQ Table \* ARABIC \s 1 </w:instrText>
      </w:r>
      <w:r w:rsidR="001A69AC" w:rsidRPr="0056108C">
        <w:rPr>
          <w:noProof/>
        </w:rPr>
        <w:fldChar w:fldCharType="separate"/>
      </w:r>
      <w:r w:rsidR="00E14AFB" w:rsidRPr="0056108C">
        <w:rPr>
          <w:noProof/>
        </w:rPr>
        <w:t>1</w:t>
      </w:r>
      <w:r w:rsidR="001A69AC" w:rsidRPr="0056108C">
        <w:rPr>
          <w:noProof/>
        </w:rPr>
        <w:fldChar w:fldCharType="end"/>
      </w:r>
      <w:bookmarkEnd w:id="147"/>
      <w:r w:rsidR="00965CE9" w:rsidRPr="0056108C">
        <w:t>: Summary of study findings</w:t>
      </w:r>
      <w:r w:rsidRPr="0056108C">
        <w:t xml:space="preserve"> specific to </w:t>
      </w:r>
      <w:r w:rsidR="00204C12" w:rsidRPr="0056108C">
        <w:t>Reedha</w:t>
      </w:r>
      <w:r w:rsidR="00204C12" w:rsidRPr="00893488">
        <w:t>m</w:t>
      </w:r>
      <w:r w:rsidR="00647F88" w:rsidRPr="00893488">
        <w:t xml:space="preserve"> </w:t>
      </w:r>
      <w:r w:rsidR="00A50BD6" w:rsidRPr="00893488">
        <w:t>with a potential impact on Neighbourhood P</w:t>
      </w:r>
      <w:r w:rsidRPr="0056108C">
        <w:t xml:space="preserve">lan </w:t>
      </w:r>
      <w:r w:rsidR="00A50BD6" w:rsidRPr="0056108C">
        <w:t>housing policie</w:t>
      </w:r>
      <w:r w:rsidRPr="0056108C">
        <w:t>s</w:t>
      </w:r>
    </w:p>
    <w:p w:rsidR="00BE3D28" w:rsidRPr="00BE3D28" w:rsidRDefault="00BE3D28" w:rsidP="00BE3D28"/>
    <w:tbl>
      <w:tblPr>
        <w:tblW w:w="9497"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5"/>
        <w:gridCol w:w="3402"/>
        <w:gridCol w:w="4820"/>
      </w:tblGrid>
      <w:tr w:rsidR="00B95608" w:rsidRPr="00C63C56" w:rsidTr="0066152A">
        <w:trPr>
          <w:cantSplit/>
          <w:trHeight w:val="232"/>
          <w:tblHeader/>
        </w:trPr>
        <w:tc>
          <w:tcPr>
            <w:tcW w:w="1275" w:type="dxa"/>
            <w:shd w:val="clear" w:color="auto" w:fill="000000" w:themeFill="text1"/>
            <w:hideMark/>
          </w:tcPr>
          <w:p w:rsidR="00B95608" w:rsidRPr="00DA4FE7" w:rsidRDefault="00B95608" w:rsidP="00965CE9">
            <w:pPr>
              <w:pStyle w:val="BodyText"/>
              <w:rPr>
                <w:b/>
                <w:color w:val="FFFFFF" w:themeColor="background1"/>
                <w:sz w:val="18"/>
                <w:szCs w:val="18"/>
              </w:rPr>
            </w:pPr>
            <w:r w:rsidRPr="00DA4FE7">
              <w:rPr>
                <w:b/>
                <w:color w:val="FFFFFF" w:themeColor="background1"/>
                <w:sz w:val="18"/>
                <w:szCs w:val="18"/>
              </w:rPr>
              <w:t>Issue</w:t>
            </w:r>
          </w:p>
        </w:tc>
        <w:tc>
          <w:tcPr>
            <w:tcW w:w="3402" w:type="dxa"/>
            <w:shd w:val="clear" w:color="auto" w:fill="000000" w:themeFill="text1"/>
            <w:hideMark/>
          </w:tcPr>
          <w:p w:rsidR="00B95608" w:rsidRPr="00DA4FE7" w:rsidRDefault="00B95608" w:rsidP="00965CE9">
            <w:pPr>
              <w:pStyle w:val="BodyText"/>
              <w:rPr>
                <w:b/>
                <w:color w:val="FFFFFF" w:themeColor="background1"/>
                <w:sz w:val="18"/>
                <w:szCs w:val="18"/>
              </w:rPr>
            </w:pPr>
            <w:r w:rsidRPr="00DA4FE7">
              <w:rPr>
                <w:b/>
                <w:color w:val="FFFFFF" w:themeColor="background1"/>
                <w:sz w:val="18"/>
                <w:szCs w:val="18"/>
              </w:rPr>
              <w:t xml:space="preserve">Summary of evidence </w:t>
            </w:r>
          </w:p>
        </w:tc>
        <w:tc>
          <w:tcPr>
            <w:tcW w:w="4820" w:type="dxa"/>
            <w:shd w:val="clear" w:color="auto" w:fill="000000" w:themeFill="text1"/>
          </w:tcPr>
          <w:p w:rsidR="00B95608" w:rsidRPr="00DA4FE7" w:rsidRDefault="00B95608" w:rsidP="00965CE9">
            <w:pPr>
              <w:pStyle w:val="BodyText"/>
              <w:rPr>
                <w:b/>
                <w:color w:val="FFFFFF" w:themeColor="background1"/>
                <w:sz w:val="18"/>
                <w:szCs w:val="18"/>
              </w:rPr>
            </w:pPr>
            <w:r w:rsidRPr="00DA4FE7">
              <w:rPr>
                <w:b/>
                <w:color w:val="FFFFFF" w:themeColor="background1"/>
                <w:sz w:val="18"/>
                <w:szCs w:val="18"/>
              </w:rPr>
              <w:t>Conclusions and recommendations</w:t>
            </w:r>
          </w:p>
        </w:tc>
      </w:tr>
      <w:tr w:rsidR="00B95608" w:rsidRPr="00C63C56" w:rsidTr="0066152A">
        <w:trPr>
          <w:cantSplit/>
          <w:trHeight w:val="501"/>
        </w:trPr>
        <w:tc>
          <w:tcPr>
            <w:tcW w:w="1275" w:type="dxa"/>
            <w:vAlign w:val="center"/>
          </w:tcPr>
          <w:p w:rsidR="00B95608" w:rsidRPr="00DA4FE7" w:rsidRDefault="00B95608" w:rsidP="0042428A">
            <w:pPr>
              <w:pStyle w:val="BodyText"/>
              <w:rPr>
                <w:sz w:val="18"/>
                <w:szCs w:val="18"/>
              </w:rPr>
            </w:pPr>
            <w:r w:rsidRPr="00DA4FE7">
              <w:rPr>
                <w:sz w:val="18"/>
                <w:szCs w:val="18"/>
              </w:rPr>
              <w:t>Housing tenure and affordability</w:t>
            </w:r>
          </w:p>
        </w:tc>
        <w:tc>
          <w:tcPr>
            <w:tcW w:w="3402" w:type="dxa"/>
          </w:tcPr>
          <w:p w:rsidR="00B95608" w:rsidRPr="00C81925" w:rsidRDefault="00B95608" w:rsidP="00DA4FE7">
            <w:pPr>
              <w:pStyle w:val="BodyText"/>
              <w:rPr>
                <w:sz w:val="18"/>
                <w:szCs w:val="18"/>
              </w:rPr>
            </w:pPr>
            <w:r w:rsidRPr="00C81925">
              <w:rPr>
                <w:sz w:val="18"/>
                <w:szCs w:val="18"/>
              </w:rPr>
              <w:t xml:space="preserve">70.3% of occupied dwellings in Reedham are owned, with social and private renting comprising a relatively even proportion of the remainder. </w:t>
            </w:r>
          </w:p>
          <w:p w:rsidR="00B95608" w:rsidRPr="00C81925" w:rsidRDefault="00B95608" w:rsidP="00DA4FE7">
            <w:pPr>
              <w:pStyle w:val="BodyText"/>
              <w:rPr>
                <w:sz w:val="18"/>
                <w:szCs w:val="18"/>
              </w:rPr>
            </w:pPr>
            <w:r w:rsidRPr="00C81925">
              <w:rPr>
                <w:sz w:val="18"/>
                <w:szCs w:val="18"/>
              </w:rPr>
              <w:t>The average total annual income across the Reedham area in 2018 was £41,500, while the lower quartile earnings of single-earning households across Broadland in 2018 was £21,088, meaning that dual-earning households on lower quartile incomes can be estimated to have gross total earnings of £42,176.</w:t>
            </w:r>
          </w:p>
          <w:p w:rsidR="00B95608" w:rsidRPr="00C81925" w:rsidRDefault="00B95608" w:rsidP="00DA4FE7">
            <w:pPr>
              <w:pStyle w:val="BodyText"/>
              <w:rPr>
                <w:sz w:val="18"/>
                <w:szCs w:val="18"/>
              </w:rPr>
            </w:pPr>
            <w:r w:rsidRPr="00C81925">
              <w:rPr>
                <w:sz w:val="18"/>
                <w:szCs w:val="18"/>
              </w:rPr>
              <w:t>Single-earning households on lower quartile incomes are unable to afford any of the housing tenures under consideration apart from social rent. Dual earning households and average earning households can access all tenures, apart from entry-level market sale, if they are able to spend a higher proportion than 30% of their income on housing costs.</w:t>
            </w:r>
          </w:p>
          <w:p w:rsidR="00B95608" w:rsidRPr="00C81925" w:rsidRDefault="00A254B9" w:rsidP="0042428A">
            <w:pPr>
              <w:pStyle w:val="ListNumber"/>
              <w:numPr>
                <w:ilvl w:val="0"/>
                <w:numId w:val="0"/>
              </w:numPr>
              <w:rPr>
                <w:sz w:val="18"/>
                <w:szCs w:val="18"/>
              </w:rPr>
            </w:pPr>
            <w:r w:rsidRPr="00C81925">
              <w:rPr>
                <w:sz w:val="18"/>
                <w:szCs w:val="18"/>
              </w:rPr>
              <w:t xml:space="preserve">If the indicative </w:t>
            </w:r>
            <w:proofErr w:type="gramStart"/>
            <w:r w:rsidRPr="00C81925">
              <w:rPr>
                <w:sz w:val="18"/>
                <w:szCs w:val="18"/>
              </w:rPr>
              <w:t>figure of 50-60 dwellings proposed for Reedham are</w:t>
            </w:r>
            <w:proofErr w:type="gramEnd"/>
            <w:r w:rsidRPr="00C81925">
              <w:rPr>
                <w:sz w:val="18"/>
                <w:szCs w:val="18"/>
              </w:rPr>
              <w:t xml:space="preserve"> delivered, approximately 20 affordable homes can be expected to come forward on the basis of that policy requirement. It is estimated that Reedham households will require 15 affordable rented dwellings and 50 affordable home ownership dwellings over the Plan period. It is clear that expected delivery of around 20 affordable homes will not be enough to provide both 15 affordable rented homes and 50 affordable home ownership units. This is true even if 88 dwellings were built over the Plan period. </w:t>
            </w:r>
          </w:p>
        </w:tc>
        <w:tc>
          <w:tcPr>
            <w:tcW w:w="4820" w:type="dxa"/>
          </w:tcPr>
          <w:p w:rsidR="0056108C" w:rsidRPr="00C81925" w:rsidRDefault="0056108C" w:rsidP="0056108C">
            <w:pPr>
              <w:pStyle w:val="BodyText"/>
              <w:rPr>
                <w:sz w:val="18"/>
              </w:rPr>
            </w:pPr>
            <w:r w:rsidRPr="00C81925">
              <w:rPr>
                <w:sz w:val="18"/>
              </w:rPr>
              <w:t>Given that social rent is the only secure tenure within reach of dual-earning households on lower quartile incomes (though some may access private rented dwellings through housing benefit), a lack of social or affordable rented dwellings is the principle affordability challenge for Reedham residents.</w:t>
            </w:r>
          </w:p>
          <w:p w:rsidR="0056108C" w:rsidRPr="00C81925" w:rsidRDefault="0056108C" w:rsidP="00761BB7">
            <w:pPr>
              <w:pStyle w:val="ListNumber"/>
              <w:numPr>
                <w:ilvl w:val="0"/>
                <w:numId w:val="0"/>
              </w:numPr>
              <w:rPr>
                <w:sz w:val="18"/>
                <w:szCs w:val="18"/>
              </w:rPr>
            </w:pPr>
            <w:r w:rsidRPr="00C81925">
              <w:rPr>
                <w:sz w:val="18"/>
                <w:szCs w:val="18"/>
              </w:rPr>
              <w:t>To ensure that other households on lower than average incomes can afford to continue living in Reedham and that the high number of overcrowded households can have the opportunity to form their own independent households, it will also be important to increase the quantity of affordable routes to home ownership – especially if reforms to welfare including housing benefit are implemented in the coming years.</w:t>
            </w:r>
          </w:p>
          <w:p w:rsidR="0056108C" w:rsidRPr="00C81925" w:rsidRDefault="0056108C" w:rsidP="00761BB7">
            <w:pPr>
              <w:pStyle w:val="ListNumber"/>
              <w:numPr>
                <w:ilvl w:val="0"/>
                <w:numId w:val="0"/>
              </w:numPr>
              <w:rPr>
                <w:sz w:val="18"/>
                <w:szCs w:val="18"/>
              </w:rPr>
            </w:pPr>
            <w:r w:rsidRPr="00C81925">
              <w:rPr>
                <w:sz w:val="18"/>
                <w:szCs w:val="18"/>
              </w:rPr>
              <w:t xml:space="preserve">Affordable Housing is typically provided and made financially viable by Borough-wide planning policies that require it to be included at a set proportion of larger market housing developments. This policy expectation in Reedham, expressed in Reedham’s adopted Joint Core Strategy is that 40% of new housing on developments should be affordable. </w:t>
            </w:r>
          </w:p>
          <w:p w:rsidR="0056108C" w:rsidRPr="00C81925" w:rsidRDefault="0056108C" w:rsidP="00761BB7">
            <w:pPr>
              <w:pStyle w:val="ListNumber"/>
              <w:numPr>
                <w:ilvl w:val="0"/>
                <w:numId w:val="0"/>
              </w:numPr>
              <w:rPr>
                <w:sz w:val="18"/>
                <w:szCs w:val="18"/>
              </w:rPr>
            </w:pPr>
            <w:r w:rsidRPr="00C81925">
              <w:rPr>
                <w:sz w:val="18"/>
                <w:szCs w:val="18"/>
              </w:rPr>
              <w:t>Since the level of expected delivery is not sufficient to meet local need as evidenced in this HNA, it is critical that the 40% housing delivery requirement is met wherever possible in Reedham. Should the community wish to further boost the supply of Affordable Housing there are other routes available to providing it. For example, using community development orders, identifying exception sites or developing community land trusts.</w:t>
            </w:r>
          </w:p>
          <w:p w:rsidR="0056108C" w:rsidRPr="00C81925" w:rsidRDefault="0056108C" w:rsidP="00761BB7">
            <w:pPr>
              <w:pStyle w:val="ListNumber"/>
              <w:numPr>
                <w:ilvl w:val="0"/>
                <w:numId w:val="0"/>
              </w:numPr>
              <w:rPr>
                <w:sz w:val="18"/>
                <w:szCs w:val="18"/>
              </w:rPr>
            </w:pPr>
            <w:r w:rsidRPr="00C81925">
              <w:rPr>
                <w:sz w:val="18"/>
                <w:szCs w:val="18"/>
              </w:rPr>
              <w:t xml:space="preserve">Of the Affordable Housing units to be delivered in Reedham, it is recommended that approximately </w:t>
            </w:r>
            <w:r w:rsidR="000B694A" w:rsidRPr="00C81925">
              <w:rPr>
                <w:sz w:val="18"/>
                <w:szCs w:val="18"/>
              </w:rPr>
              <w:t>60</w:t>
            </w:r>
            <w:r w:rsidRPr="00C81925">
              <w:rPr>
                <w:sz w:val="18"/>
                <w:szCs w:val="18"/>
              </w:rPr>
              <w:t>% be offered as social</w:t>
            </w:r>
            <w:r w:rsidR="000B694A" w:rsidRPr="00C81925">
              <w:rPr>
                <w:sz w:val="18"/>
                <w:szCs w:val="18"/>
              </w:rPr>
              <w:t xml:space="preserve"> (40%)</w:t>
            </w:r>
            <w:r w:rsidRPr="00C81925">
              <w:rPr>
                <w:sz w:val="18"/>
                <w:szCs w:val="18"/>
              </w:rPr>
              <w:t xml:space="preserve"> or affordable </w:t>
            </w:r>
            <w:r w:rsidR="000B694A" w:rsidRPr="00C81925">
              <w:rPr>
                <w:sz w:val="18"/>
                <w:szCs w:val="18"/>
              </w:rPr>
              <w:t xml:space="preserve">(20%) </w:t>
            </w:r>
            <w:r w:rsidRPr="00C81925">
              <w:rPr>
                <w:sz w:val="18"/>
                <w:szCs w:val="18"/>
              </w:rPr>
              <w:t xml:space="preserve">rent, the remaining </w:t>
            </w:r>
            <w:r w:rsidR="000B694A" w:rsidRPr="00C81925">
              <w:rPr>
                <w:sz w:val="18"/>
                <w:szCs w:val="18"/>
              </w:rPr>
              <w:t>40</w:t>
            </w:r>
            <w:r w:rsidRPr="00C81925">
              <w:rPr>
                <w:sz w:val="18"/>
                <w:szCs w:val="18"/>
              </w:rPr>
              <w:t xml:space="preserve">% delivered as affordable routes to home ownership, with </w:t>
            </w:r>
            <w:r w:rsidR="000B694A" w:rsidRPr="00C81925">
              <w:rPr>
                <w:sz w:val="18"/>
                <w:szCs w:val="18"/>
              </w:rPr>
              <w:t xml:space="preserve">20% being </w:t>
            </w:r>
            <w:r w:rsidRPr="00C81925">
              <w:rPr>
                <w:sz w:val="18"/>
                <w:szCs w:val="18"/>
              </w:rPr>
              <w:t xml:space="preserve">shared ownership </w:t>
            </w:r>
            <w:r w:rsidR="001F30FD">
              <w:rPr>
                <w:sz w:val="18"/>
                <w:szCs w:val="18"/>
              </w:rPr>
              <w:t>and</w:t>
            </w:r>
            <w:r w:rsidR="000B694A" w:rsidRPr="00C81925">
              <w:rPr>
                <w:sz w:val="18"/>
                <w:szCs w:val="18"/>
              </w:rPr>
              <w:t xml:space="preserve"> 20% being </w:t>
            </w:r>
            <w:r w:rsidRPr="00C81925">
              <w:rPr>
                <w:sz w:val="18"/>
                <w:szCs w:val="18"/>
              </w:rPr>
              <w:t xml:space="preserve">discounted market housing. </w:t>
            </w:r>
          </w:p>
          <w:p w:rsidR="00B95608" w:rsidRPr="00C81925" w:rsidRDefault="00B95608" w:rsidP="0042428A">
            <w:pPr>
              <w:pStyle w:val="ListNumber"/>
              <w:numPr>
                <w:ilvl w:val="0"/>
                <w:numId w:val="0"/>
              </w:numPr>
              <w:rPr>
                <w:sz w:val="18"/>
                <w:szCs w:val="18"/>
              </w:rPr>
            </w:pPr>
          </w:p>
        </w:tc>
      </w:tr>
      <w:tr w:rsidR="00B95608" w:rsidRPr="00C63C56" w:rsidTr="0066152A">
        <w:trPr>
          <w:cantSplit/>
        </w:trPr>
        <w:tc>
          <w:tcPr>
            <w:tcW w:w="1275" w:type="dxa"/>
            <w:vAlign w:val="center"/>
          </w:tcPr>
          <w:p w:rsidR="00B95608" w:rsidRPr="00DA4FE7" w:rsidRDefault="00B95608" w:rsidP="00C378B2">
            <w:pPr>
              <w:pStyle w:val="BodyText"/>
              <w:jc w:val="both"/>
              <w:rPr>
                <w:sz w:val="18"/>
                <w:szCs w:val="18"/>
              </w:rPr>
            </w:pPr>
            <w:r w:rsidRPr="00DA4FE7">
              <w:rPr>
                <w:sz w:val="18"/>
                <w:szCs w:val="18"/>
              </w:rPr>
              <w:lastRenderedPageBreak/>
              <w:t>Housing type and size</w:t>
            </w:r>
          </w:p>
        </w:tc>
        <w:tc>
          <w:tcPr>
            <w:tcW w:w="3402" w:type="dxa"/>
          </w:tcPr>
          <w:p w:rsidR="00B95608" w:rsidRDefault="00893488" w:rsidP="00B4010B">
            <w:pPr>
              <w:pStyle w:val="BodyText"/>
              <w:rPr>
                <w:sz w:val="18"/>
                <w:szCs w:val="18"/>
              </w:rPr>
            </w:pPr>
            <w:r>
              <w:rPr>
                <w:sz w:val="18"/>
                <w:szCs w:val="18"/>
              </w:rPr>
              <w:t>The proportion of detached homes in Reedham is more than double the national average. The NA is also characterised by generally larger homes than the rest of England.</w:t>
            </w:r>
          </w:p>
          <w:p w:rsidR="002B07C9" w:rsidRPr="00DA4FE7" w:rsidRDefault="002B07C9" w:rsidP="00B4010B">
            <w:pPr>
              <w:pStyle w:val="BodyText"/>
              <w:rPr>
                <w:sz w:val="18"/>
                <w:szCs w:val="18"/>
              </w:rPr>
            </w:pPr>
            <w:r>
              <w:rPr>
                <w:sz w:val="18"/>
                <w:szCs w:val="18"/>
              </w:rPr>
              <w:t>Reedham has a substantially higher percentage of residents over the age of 4</w:t>
            </w:r>
            <w:r w:rsidR="005041F8">
              <w:rPr>
                <w:sz w:val="18"/>
                <w:szCs w:val="18"/>
              </w:rPr>
              <w:t xml:space="preserve">5 compared </w:t>
            </w:r>
            <w:r w:rsidR="006E443C">
              <w:rPr>
                <w:sz w:val="18"/>
                <w:szCs w:val="18"/>
              </w:rPr>
              <w:t xml:space="preserve">to Broadland and the national average. The current population of those aged 45-65 is likely to result in further ageing over the Plan period. </w:t>
            </w:r>
          </w:p>
        </w:tc>
        <w:tc>
          <w:tcPr>
            <w:tcW w:w="4820" w:type="dxa"/>
          </w:tcPr>
          <w:p w:rsidR="00B95608" w:rsidRDefault="00F505A0" w:rsidP="00B4010B">
            <w:pPr>
              <w:pStyle w:val="BodyText"/>
              <w:rPr>
                <w:sz w:val="18"/>
                <w:szCs w:val="18"/>
              </w:rPr>
            </w:pPr>
            <w:r>
              <w:rPr>
                <w:sz w:val="18"/>
                <w:szCs w:val="18"/>
              </w:rPr>
              <w:t xml:space="preserve">Seen in the context of Reedham’s </w:t>
            </w:r>
            <w:r w:rsidR="00B139BE">
              <w:rPr>
                <w:sz w:val="18"/>
                <w:szCs w:val="18"/>
              </w:rPr>
              <w:t>comparatively</w:t>
            </w:r>
            <w:r>
              <w:rPr>
                <w:sz w:val="18"/>
                <w:szCs w:val="18"/>
              </w:rPr>
              <w:t xml:space="preserve"> large stock of dwellings, trends</w:t>
            </w:r>
            <w:r w:rsidR="00B139BE">
              <w:rPr>
                <w:sz w:val="18"/>
                <w:szCs w:val="18"/>
              </w:rPr>
              <w:t xml:space="preserve"> towards older households and </w:t>
            </w:r>
            <w:r w:rsidR="00600644">
              <w:rPr>
                <w:sz w:val="18"/>
                <w:szCs w:val="18"/>
              </w:rPr>
              <w:t>young families</w:t>
            </w:r>
            <w:r w:rsidR="00B139BE">
              <w:rPr>
                <w:sz w:val="18"/>
                <w:szCs w:val="18"/>
              </w:rPr>
              <w:t xml:space="preserve"> may warrant a Neighbourhood Plan policy intervention to restrict the future supply or larger dwellings to some extent.</w:t>
            </w:r>
          </w:p>
          <w:p w:rsidR="00B139BE" w:rsidRDefault="00B139BE" w:rsidP="00B4010B">
            <w:pPr>
              <w:pStyle w:val="BodyText"/>
              <w:rPr>
                <w:color w:val="auto"/>
                <w:sz w:val="18"/>
              </w:rPr>
            </w:pPr>
            <w:r>
              <w:rPr>
                <w:color w:val="auto"/>
                <w:sz w:val="18"/>
              </w:rPr>
              <w:t xml:space="preserve">The recommended size mix of new housing focuses on dwellings of 1 to 3 </w:t>
            </w:r>
            <w:r w:rsidR="00C9638C">
              <w:rPr>
                <w:color w:val="auto"/>
                <w:sz w:val="18"/>
              </w:rPr>
              <w:t>bedrooms and</w:t>
            </w:r>
            <w:r>
              <w:rPr>
                <w:color w:val="auto"/>
                <w:sz w:val="18"/>
              </w:rPr>
              <w:t xml:space="preserve"> suggests that </w:t>
            </w:r>
            <w:r w:rsidR="00600644">
              <w:rPr>
                <w:color w:val="auto"/>
                <w:sz w:val="18"/>
              </w:rPr>
              <w:t>fewer</w:t>
            </w:r>
            <w:r>
              <w:rPr>
                <w:color w:val="auto"/>
                <w:sz w:val="18"/>
              </w:rPr>
              <w:t xml:space="preserve"> large dwellings are needed.</w:t>
            </w:r>
          </w:p>
          <w:p w:rsidR="00B139BE" w:rsidRDefault="00B139BE" w:rsidP="00B139BE">
            <w:pPr>
              <w:pStyle w:val="BodyText"/>
              <w:rPr>
                <w:sz w:val="18"/>
                <w:szCs w:val="18"/>
              </w:rPr>
            </w:pPr>
            <w:r w:rsidRPr="00412153">
              <w:rPr>
                <w:sz w:val="18"/>
                <w:szCs w:val="18"/>
              </w:rPr>
              <w:t>The provision of larger homes should not be inhibited entirely (though some of that demand will be met by natural churn within the market), but to the extent that the neighbourhood plan may be used to influence the size mix of housing coming forward, smaller homes should be the priority.</w:t>
            </w:r>
          </w:p>
          <w:p w:rsidR="00B139BE" w:rsidRPr="00DA4FE7" w:rsidRDefault="00690963" w:rsidP="00B4010B">
            <w:pPr>
              <w:pStyle w:val="BodyText"/>
              <w:rPr>
                <w:sz w:val="18"/>
                <w:szCs w:val="18"/>
              </w:rPr>
            </w:pPr>
            <w:r w:rsidRPr="001C5DD5">
              <w:rPr>
                <w:sz w:val="18"/>
                <w:szCs w:val="18"/>
              </w:rPr>
              <w:t>In terms of the types of dwellings required, some unmet demand for generally more affordable dwelling types presently lacking in</w:t>
            </w:r>
            <w:r>
              <w:rPr>
                <w:sz w:val="18"/>
                <w:szCs w:val="18"/>
              </w:rPr>
              <w:t xml:space="preserve"> Reedham</w:t>
            </w:r>
            <w:r w:rsidRPr="001C5DD5">
              <w:rPr>
                <w:sz w:val="18"/>
                <w:szCs w:val="18"/>
              </w:rPr>
              <w:t xml:space="preserve">, such as terraced homes, should be addressed. The size recommendation for </w:t>
            </w:r>
            <w:r w:rsidRPr="004C3FD2">
              <w:rPr>
                <w:sz w:val="18"/>
                <w:szCs w:val="18"/>
                <w:highlight w:val="yellow"/>
              </w:rPr>
              <w:t>two</w:t>
            </w:r>
            <w:r w:rsidRPr="001C5DD5">
              <w:rPr>
                <w:sz w:val="18"/>
                <w:szCs w:val="18"/>
              </w:rPr>
              <w:t>- and two-bedroom homes would help to achieve this.</w:t>
            </w:r>
          </w:p>
        </w:tc>
      </w:tr>
    </w:tbl>
    <w:p w:rsidR="002C2D5C" w:rsidRPr="006947CD" w:rsidRDefault="002C2D5C" w:rsidP="002C2D5C">
      <w:pPr>
        <w:pStyle w:val="Heading2"/>
        <w:jc w:val="both"/>
      </w:pPr>
      <w:bookmarkStart w:id="148" w:name="_Toc425332024"/>
      <w:bookmarkStart w:id="149" w:name="_Toc461696231"/>
      <w:bookmarkStart w:id="150" w:name="_Toc33015874"/>
      <w:bookmarkEnd w:id="146"/>
      <w:r w:rsidRPr="006947CD">
        <w:t>Recommendations for next steps</w:t>
      </w:r>
      <w:bookmarkEnd w:id="148"/>
      <w:bookmarkEnd w:id="149"/>
      <w:bookmarkEnd w:id="150"/>
    </w:p>
    <w:p w:rsidR="002C2D5C" w:rsidRPr="00965CE9" w:rsidRDefault="00A50BD6" w:rsidP="002C2D5C">
      <w:pPr>
        <w:pStyle w:val="ListNumber"/>
        <w:widowControl w:val="0"/>
        <w:jc w:val="both"/>
        <w:rPr>
          <w:sz w:val="18"/>
          <w:szCs w:val="18"/>
        </w:rPr>
      </w:pPr>
      <w:r>
        <w:rPr>
          <w:sz w:val="18"/>
          <w:szCs w:val="18"/>
        </w:rPr>
        <w:t>This N</w:t>
      </w:r>
      <w:r w:rsidR="002C2D5C" w:rsidRPr="00965CE9">
        <w:rPr>
          <w:sz w:val="18"/>
          <w:szCs w:val="18"/>
        </w:rPr>
        <w:t>eighbo</w:t>
      </w:r>
      <w:r>
        <w:rPr>
          <w:sz w:val="18"/>
          <w:szCs w:val="18"/>
        </w:rPr>
        <w:t>urhood P</w:t>
      </w:r>
      <w:r w:rsidR="00B909CB">
        <w:rPr>
          <w:sz w:val="18"/>
          <w:szCs w:val="18"/>
        </w:rPr>
        <w:t xml:space="preserve">lan housing needs assessment aims </w:t>
      </w:r>
      <w:r w:rsidR="002C2D5C" w:rsidRPr="00965CE9">
        <w:rPr>
          <w:sz w:val="18"/>
          <w:szCs w:val="18"/>
        </w:rPr>
        <w:t xml:space="preserve">to provide </w:t>
      </w:r>
      <w:r w:rsidR="00993B91">
        <w:rPr>
          <w:color w:val="auto"/>
          <w:sz w:val="18"/>
          <w:szCs w:val="18"/>
        </w:rPr>
        <w:t>Reedham</w:t>
      </w:r>
      <w:r w:rsidR="002C2D5C" w:rsidRPr="00965CE9">
        <w:rPr>
          <w:sz w:val="18"/>
          <w:szCs w:val="18"/>
        </w:rPr>
        <w:t xml:space="preserve"> with evidence on </w:t>
      </w:r>
      <w:r w:rsidR="00B909CB">
        <w:rPr>
          <w:sz w:val="18"/>
          <w:szCs w:val="18"/>
        </w:rPr>
        <w:t xml:space="preserve">a range of </w:t>
      </w:r>
      <w:r w:rsidR="002C2D5C" w:rsidRPr="00965CE9">
        <w:rPr>
          <w:sz w:val="18"/>
          <w:szCs w:val="18"/>
        </w:rPr>
        <w:t xml:space="preserve">housing trends </w:t>
      </w:r>
      <w:r w:rsidR="00B909CB">
        <w:rPr>
          <w:sz w:val="18"/>
          <w:szCs w:val="18"/>
        </w:rPr>
        <w:t xml:space="preserve">and issues </w:t>
      </w:r>
      <w:r w:rsidR="002C2D5C" w:rsidRPr="00965CE9">
        <w:rPr>
          <w:sz w:val="18"/>
          <w:szCs w:val="18"/>
        </w:rPr>
        <w:t xml:space="preserve">from a range of </w:t>
      </w:r>
      <w:r w:rsidR="00B909CB">
        <w:rPr>
          <w:sz w:val="18"/>
          <w:szCs w:val="18"/>
        </w:rPr>
        <w:t xml:space="preserve">relevant </w:t>
      </w:r>
      <w:r w:rsidR="002C2D5C" w:rsidRPr="00965CE9">
        <w:rPr>
          <w:sz w:val="18"/>
          <w:szCs w:val="18"/>
        </w:rPr>
        <w:t xml:space="preserve">sources. We recommend that </w:t>
      </w:r>
      <w:r w:rsidR="00DF38AF" w:rsidRPr="00965CE9">
        <w:rPr>
          <w:sz w:val="18"/>
          <w:szCs w:val="18"/>
        </w:rPr>
        <w:t xml:space="preserve">the neighbourhood planners </w:t>
      </w:r>
      <w:r w:rsidR="002C2D5C" w:rsidRPr="00965CE9">
        <w:rPr>
          <w:sz w:val="18"/>
          <w:szCs w:val="18"/>
        </w:rPr>
        <w:t xml:space="preserve">should, as a next step, discuss the contents and conclusions with </w:t>
      </w:r>
      <w:r w:rsidR="00993B91">
        <w:rPr>
          <w:sz w:val="18"/>
          <w:szCs w:val="18"/>
        </w:rPr>
        <w:t>Broadland</w:t>
      </w:r>
      <w:r w:rsidR="002C2D5C" w:rsidRPr="00965CE9">
        <w:rPr>
          <w:sz w:val="18"/>
          <w:szCs w:val="18"/>
        </w:rPr>
        <w:t xml:space="preserve"> with a view to agreeing and formulating draft housing policies, bearing the following in mind:</w:t>
      </w:r>
    </w:p>
    <w:p w:rsidR="002C2D5C" w:rsidRPr="00965CE9" w:rsidRDefault="00CD1EBD" w:rsidP="00AB4603">
      <w:pPr>
        <w:pStyle w:val="ListNumber"/>
        <w:widowControl w:val="0"/>
        <w:numPr>
          <w:ilvl w:val="0"/>
          <w:numId w:val="22"/>
        </w:numPr>
        <w:jc w:val="both"/>
        <w:rPr>
          <w:sz w:val="18"/>
          <w:szCs w:val="18"/>
        </w:rPr>
      </w:pPr>
      <w:r>
        <w:rPr>
          <w:sz w:val="18"/>
          <w:szCs w:val="18"/>
        </w:rPr>
        <w:t xml:space="preserve">All </w:t>
      </w:r>
      <w:r w:rsidR="002C2D5C" w:rsidRPr="00965CE9">
        <w:rPr>
          <w:sz w:val="18"/>
          <w:szCs w:val="18"/>
        </w:rPr>
        <w:t>Neighbourhood Planning Basic Condition</w:t>
      </w:r>
      <w:r>
        <w:rPr>
          <w:sz w:val="18"/>
          <w:szCs w:val="18"/>
        </w:rPr>
        <w:t>s, but in particular the following:</w:t>
      </w:r>
      <w:r w:rsidR="002C2D5C" w:rsidRPr="00965CE9">
        <w:rPr>
          <w:sz w:val="18"/>
          <w:szCs w:val="18"/>
        </w:rPr>
        <w:t xml:space="preserve"> </w:t>
      </w:r>
      <w:r>
        <w:rPr>
          <w:sz w:val="18"/>
          <w:szCs w:val="18"/>
        </w:rPr>
        <w:t xml:space="preserve">Condition </w:t>
      </w:r>
      <w:r w:rsidR="002C2D5C" w:rsidRPr="00965CE9">
        <w:rPr>
          <w:sz w:val="18"/>
          <w:szCs w:val="18"/>
        </w:rPr>
        <w:t xml:space="preserve">A, </w:t>
      </w:r>
      <w:r w:rsidR="00B909CB">
        <w:rPr>
          <w:sz w:val="18"/>
          <w:szCs w:val="18"/>
        </w:rPr>
        <w:t>namely that the Neighbourhood Plan</w:t>
      </w:r>
      <w:r w:rsidR="002C2D5C" w:rsidRPr="00965CE9">
        <w:rPr>
          <w:sz w:val="18"/>
          <w:szCs w:val="18"/>
        </w:rPr>
        <w:t xml:space="preserve"> has regard to national policies and advice contained in guidance issued by the Secretary of State; Condi</w:t>
      </w:r>
      <w:r w:rsidR="00B909CB">
        <w:rPr>
          <w:sz w:val="18"/>
          <w:szCs w:val="18"/>
        </w:rPr>
        <w:t>tion D, that the making of the Neighbourhood P</w:t>
      </w:r>
      <w:r w:rsidR="002C2D5C" w:rsidRPr="00965CE9">
        <w:rPr>
          <w:sz w:val="18"/>
          <w:szCs w:val="18"/>
        </w:rPr>
        <w:t>lan contributes to the achievement of sustainable development; and Conditio</w:t>
      </w:r>
      <w:r w:rsidR="00B909CB">
        <w:rPr>
          <w:sz w:val="18"/>
          <w:szCs w:val="18"/>
        </w:rPr>
        <w:t>n E, which is the need for the Neighbourhood P</w:t>
      </w:r>
      <w:r w:rsidR="002C2D5C" w:rsidRPr="00965CE9">
        <w:rPr>
          <w:sz w:val="18"/>
          <w:szCs w:val="18"/>
        </w:rPr>
        <w:t xml:space="preserve">lan to be in general conformity with the </w:t>
      </w:r>
      <w:r w:rsidR="00B909CB">
        <w:rPr>
          <w:sz w:val="18"/>
          <w:szCs w:val="18"/>
        </w:rPr>
        <w:t xml:space="preserve">strategic </w:t>
      </w:r>
      <w:r w:rsidR="00A811CE">
        <w:rPr>
          <w:sz w:val="18"/>
          <w:szCs w:val="18"/>
        </w:rPr>
        <w:t xml:space="preserve">policies of the adopted </w:t>
      </w:r>
      <w:r w:rsidR="00B909CB">
        <w:rPr>
          <w:sz w:val="18"/>
          <w:szCs w:val="18"/>
        </w:rPr>
        <w:t>development plan;</w:t>
      </w:r>
    </w:p>
    <w:p w:rsidR="002C2D5C" w:rsidRPr="00965CE9" w:rsidRDefault="002C2D5C" w:rsidP="00AB4603">
      <w:pPr>
        <w:pStyle w:val="ListNumber"/>
        <w:widowControl w:val="0"/>
        <w:numPr>
          <w:ilvl w:val="0"/>
          <w:numId w:val="22"/>
        </w:numPr>
        <w:jc w:val="both"/>
        <w:rPr>
          <w:sz w:val="18"/>
          <w:szCs w:val="18"/>
        </w:rPr>
      </w:pPr>
      <w:r w:rsidRPr="00965CE9">
        <w:rPr>
          <w:sz w:val="18"/>
          <w:szCs w:val="18"/>
        </w:rPr>
        <w:t>The views of</w:t>
      </w:r>
      <w:r w:rsidRPr="00965CE9">
        <w:rPr>
          <w:color w:val="FF0000"/>
          <w:sz w:val="18"/>
          <w:szCs w:val="18"/>
        </w:rPr>
        <w:t xml:space="preserve"> </w:t>
      </w:r>
      <w:r w:rsidR="00993B91">
        <w:rPr>
          <w:color w:val="auto"/>
          <w:sz w:val="18"/>
          <w:szCs w:val="18"/>
        </w:rPr>
        <w:t>Broadland</w:t>
      </w:r>
      <w:r w:rsidRPr="00965CE9">
        <w:rPr>
          <w:sz w:val="18"/>
          <w:szCs w:val="18"/>
        </w:rPr>
        <w:t xml:space="preserve"> – in particular in relation to the </w:t>
      </w:r>
      <w:r w:rsidR="00B909CB">
        <w:rPr>
          <w:sz w:val="18"/>
          <w:szCs w:val="18"/>
        </w:rPr>
        <w:t>quantity of housing</w:t>
      </w:r>
      <w:r w:rsidRPr="00965CE9">
        <w:rPr>
          <w:sz w:val="18"/>
          <w:szCs w:val="18"/>
        </w:rPr>
        <w:t xml:space="preserve"> that should be </w:t>
      </w:r>
      <w:r w:rsidR="00B909CB">
        <w:rPr>
          <w:sz w:val="18"/>
          <w:szCs w:val="18"/>
        </w:rPr>
        <w:t>planned for;</w:t>
      </w:r>
    </w:p>
    <w:p w:rsidR="002C2D5C" w:rsidRPr="00965CE9" w:rsidRDefault="002C2D5C" w:rsidP="00AB4603">
      <w:pPr>
        <w:pStyle w:val="ListNumber"/>
        <w:widowControl w:val="0"/>
        <w:numPr>
          <w:ilvl w:val="0"/>
          <w:numId w:val="22"/>
        </w:numPr>
        <w:jc w:val="both"/>
        <w:rPr>
          <w:sz w:val="18"/>
          <w:szCs w:val="18"/>
        </w:rPr>
      </w:pPr>
      <w:r w:rsidRPr="00965CE9">
        <w:rPr>
          <w:sz w:val="18"/>
          <w:szCs w:val="18"/>
        </w:rPr>
        <w:t>The view</w:t>
      </w:r>
      <w:r w:rsidR="00B909CB">
        <w:rPr>
          <w:sz w:val="18"/>
          <w:szCs w:val="18"/>
        </w:rPr>
        <w:t>s of local residents;</w:t>
      </w:r>
    </w:p>
    <w:p w:rsidR="002C2D5C" w:rsidRPr="00965CE9" w:rsidRDefault="002C2D5C" w:rsidP="00AB4603">
      <w:pPr>
        <w:pStyle w:val="ListNumber"/>
        <w:widowControl w:val="0"/>
        <w:numPr>
          <w:ilvl w:val="0"/>
          <w:numId w:val="22"/>
        </w:numPr>
        <w:jc w:val="both"/>
        <w:rPr>
          <w:sz w:val="18"/>
          <w:szCs w:val="18"/>
        </w:rPr>
      </w:pPr>
      <w:r w:rsidRPr="00965CE9">
        <w:rPr>
          <w:sz w:val="18"/>
          <w:szCs w:val="18"/>
        </w:rPr>
        <w:t>The views of other relevant local stakeholder</w:t>
      </w:r>
      <w:r w:rsidR="00B909CB">
        <w:rPr>
          <w:sz w:val="18"/>
          <w:szCs w:val="18"/>
        </w:rPr>
        <w:t>s, including housing developers</w:t>
      </w:r>
      <w:r w:rsidR="00481241">
        <w:rPr>
          <w:sz w:val="18"/>
          <w:szCs w:val="18"/>
        </w:rPr>
        <w:t xml:space="preserve"> and estate agents</w:t>
      </w:r>
      <w:r w:rsidR="00B909CB">
        <w:rPr>
          <w:sz w:val="18"/>
          <w:szCs w:val="18"/>
        </w:rPr>
        <w:t>;</w:t>
      </w:r>
    </w:p>
    <w:p w:rsidR="002C2D5C" w:rsidRPr="00965CE9" w:rsidRDefault="002C2D5C" w:rsidP="00AB4603">
      <w:pPr>
        <w:pStyle w:val="ListNumber"/>
        <w:widowControl w:val="0"/>
        <w:numPr>
          <w:ilvl w:val="0"/>
          <w:numId w:val="22"/>
        </w:numPr>
        <w:jc w:val="both"/>
        <w:rPr>
          <w:sz w:val="18"/>
          <w:szCs w:val="18"/>
        </w:rPr>
      </w:pPr>
      <w:r w:rsidRPr="00965CE9">
        <w:rPr>
          <w:sz w:val="18"/>
          <w:szCs w:val="18"/>
        </w:rPr>
        <w:t>The numerous supply-side considerations, including local environmental constraints, the location and characteristics of suitable land, and any capacity work</w:t>
      </w:r>
      <w:r w:rsidR="00B909CB">
        <w:rPr>
          <w:sz w:val="18"/>
          <w:szCs w:val="18"/>
        </w:rPr>
        <w:t xml:space="preserve"> carried out by </w:t>
      </w:r>
      <w:r w:rsidR="00993B91">
        <w:rPr>
          <w:color w:val="auto"/>
          <w:sz w:val="18"/>
          <w:szCs w:val="18"/>
        </w:rPr>
        <w:t>Broadland</w:t>
      </w:r>
      <w:r w:rsidRPr="00965CE9">
        <w:rPr>
          <w:sz w:val="18"/>
          <w:szCs w:val="18"/>
        </w:rPr>
        <w:t>, in</w:t>
      </w:r>
      <w:r w:rsidR="00B909CB">
        <w:rPr>
          <w:sz w:val="18"/>
          <w:szCs w:val="18"/>
        </w:rPr>
        <w:t>cluding but not limited to the Strategic Housing Land Availability Assessment (SHLAA);</w:t>
      </w:r>
    </w:p>
    <w:p w:rsidR="002C2D5C" w:rsidRPr="00965CE9" w:rsidRDefault="002C2D5C" w:rsidP="00AB4603">
      <w:pPr>
        <w:pStyle w:val="ListNumber"/>
        <w:widowControl w:val="0"/>
        <w:numPr>
          <w:ilvl w:val="0"/>
          <w:numId w:val="22"/>
        </w:numPr>
        <w:jc w:val="both"/>
        <w:rPr>
          <w:sz w:val="18"/>
          <w:szCs w:val="18"/>
        </w:rPr>
      </w:pPr>
      <w:r w:rsidRPr="00965CE9">
        <w:rPr>
          <w:sz w:val="18"/>
          <w:szCs w:val="18"/>
        </w:rPr>
        <w:t>The recommendat</w:t>
      </w:r>
      <w:r w:rsidR="00B67195">
        <w:rPr>
          <w:sz w:val="18"/>
          <w:szCs w:val="18"/>
        </w:rPr>
        <w:t>ions and findings of this study; and</w:t>
      </w:r>
    </w:p>
    <w:p w:rsidR="002C2D5C" w:rsidRPr="00965CE9" w:rsidRDefault="00B67195" w:rsidP="00AB4603">
      <w:pPr>
        <w:pStyle w:val="ListNumber"/>
        <w:widowControl w:val="0"/>
        <w:numPr>
          <w:ilvl w:val="0"/>
          <w:numId w:val="22"/>
        </w:numPr>
        <w:jc w:val="both"/>
        <w:rPr>
          <w:sz w:val="18"/>
          <w:szCs w:val="18"/>
        </w:rPr>
      </w:pPr>
      <w:r>
        <w:rPr>
          <w:sz w:val="18"/>
          <w:szCs w:val="18"/>
        </w:rPr>
        <w:t>The impact of the Government’s Standard M</w:t>
      </w:r>
      <w:r w:rsidR="002C2D5C" w:rsidRPr="00965CE9">
        <w:rPr>
          <w:sz w:val="18"/>
          <w:szCs w:val="18"/>
        </w:rPr>
        <w:t xml:space="preserve">ethodology on calculating housing need </w:t>
      </w:r>
      <w:r>
        <w:rPr>
          <w:sz w:val="18"/>
          <w:szCs w:val="18"/>
        </w:rPr>
        <w:t xml:space="preserve">for </w:t>
      </w:r>
      <w:r w:rsidR="00222E12">
        <w:rPr>
          <w:sz w:val="18"/>
          <w:szCs w:val="18"/>
        </w:rPr>
        <w:t>Broadland</w:t>
      </w:r>
      <w:r>
        <w:rPr>
          <w:sz w:val="18"/>
          <w:szCs w:val="18"/>
        </w:rPr>
        <w:t xml:space="preserve"> and the neighbourhood plan areas within it</w:t>
      </w:r>
      <w:r w:rsidR="002C2D5C" w:rsidRPr="00965CE9">
        <w:rPr>
          <w:sz w:val="18"/>
          <w:szCs w:val="18"/>
        </w:rPr>
        <w:t>.</w:t>
      </w:r>
    </w:p>
    <w:p w:rsidR="002C2D5C" w:rsidRPr="00965CE9" w:rsidRDefault="002C2D5C" w:rsidP="002C2D5C">
      <w:pPr>
        <w:pStyle w:val="ListNumber"/>
        <w:widowControl w:val="0"/>
        <w:jc w:val="both"/>
        <w:rPr>
          <w:sz w:val="18"/>
          <w:szCs w:val="18"/>
        </w:rPr>
      </w:pPr>
      <w:r w:rsidRPr="00965CE9">
        <w:rPr>
          <w:sz w:val="18"/>
          <w:szCs w:val="18"/>
        </w:rPr>
        <w:t xml:space="preserve">This </w:t>
      </w:r>
      <w:r w:rsidR="0046675F">
        <w:rPr>
          <w:sz w:val="18"/>
          <w:szCs w:val="18"/>
        </w:rPr>
        <w:t>assessment</w:t>
      </w:r>
      <w:r w:rsidRPr="00965CE9">
        <w:rPr>
          <w:sz w:val="18"/>
          <w:szCs w:val="18"/>
        </w:rPr>
        <w:t xml:space="preserve"> has been provided in good faith by AECOM consultants o</w:t>
      </w:r>
      <w:r w:rsidR="00B67195">
        <w:rPr>
          <w:sz w:val="18"/>
          <w:szCs w:val="18"/>
        </w:rPr>
        <w:t xml:space="preserve">n the basis of housing data, </w:t>
      </w:r>
      <w:r w:rsidRPr="00965CE9">
        <w:rPr>
          <w:sz w:val="18"/>
          <w:szCs w:val="18"/>
        </w:rPr>
        <w:t xml:space="preserve">national guidance </w:t>
      </w:r>
      <w:r w:rsidR="00B67195">
        <w:rPr>
          <w:sz w:val="18"/>
          <w:szCs w:val="18"/>
        </w:rPr>
        <w:t xml:space="preserve">and </w:t>
      </w:r>
      <w:r w:rsidR="00B67195" w:rsidRPr="00965CE9">
        <w:rPr>
          <w:sz w:val="18"/>
          <w:szCs w:val="18"/>
        </w:rPr>
        <w:t xml:space="preserve">other relevant and available information </w:t>
      </w:r>
      <w:r w:rsidRPr="00965CE9">
        <w:rPr>
          <w:sz w:val="18"/>
          <w:szCs w:val="18"/>
        </w:rPr>
        <w:t>current a</w:t>
      </w:r>
      <w:r w:rsidR="00B67195">
        <w:rPr>
          <w:sz w:val="18"/>
          <w:szCs w:val="18"/>
        </w:rPr>
        <w:t>t the time of writing</w:t>
      </w:r>
      <w:r w:rsidRPr="00965CE9">
        <w:rPr>
          <w:sz w:val="18"/>
          <w:szCs w:val="18"/>
        </w:rPr>
        <w:t>.</w:t>
      </w:r>
    </w:p>
    <w:p w:rsidR="002C2D5C" w:rsidRPr="00965CE9" w:rsidRDefault="002C2D5C" w:rsidP="002C2D5C">
      <w:pPr>
        <w:pStyle w:val="ListNumber"/>
        <w:widowControl w:val="0"/>
        <w:jc w:val="both"/>
        <w:rPr>
          <w:sz w:val="18"/>
          <w:szCs w:val="18"/>
        </w:rPr>
      </w:pPr>
      <w:r w:rsidRPr="00965CE9">
        <w:rPr>
          <w:sz w:val="18"/>
          <w:szCs w:val="18"/>
        </w:rPr>
        <w:t xml:space="preserve">Bearing this in mind, </w:t>
      </w:r>
      <w:r w:rsidR="002B4670">
        <w:rPr>
          <w:sz w:val="18"/>
          <w:szCs w:val="18"/>
        </w:rPr>
        <w:t>it is</w:t>
      </w:r>
      <w:r w:rsidR="002B4670" w:rsidRPr="00965CE9">
        <w:rPr>
          <w:sz w:val="18"/>
          <w:szCs w:val="18"/>
        </w:rPr>
        <w:t xml:space="preserve"> </w:t>
      </w:r>
      <w:r w:rsidRPr="00965CE9">
        <w:rPr>
          <w:sz w:val="18"/>
          <w:szCs w:val="18"/>
        </w:rPr>
        <w:t>recommend</w:t>
      </w:r>
      <w:r w:rsidR="002B4670">
        <w:rPr>
          <w:sz w:val="18"/>
          <w:szCs w:val="18"/>
        </w:rPr>
        <w:t>ed</w:t>
      </w:r>
      <w:r w:rsidRPr="00965CE9">
        <w:rPr>
          <w:sz w:val="18"/>
          <w:szCs w:val="18"/>
        </w:rPr>
        <w:t xml:space="preserve"> that the </w:t>
      </w:r>
      <w:r w:rsidR="0046675F">
        <w:rPr>
          <w:sz w:val="18"/>
          <w:szCs w:val="18"/>
        </w:rPr>
        <w:t xml:space="preserve">Neighbourhood Plan </w:t>
      </w:r>
      <w:r w:rsidRPr="00965CE9">
        <w:rPr>
          <w:sz w:val="18"/>
          <w:szCs w:val="18"/>
        </w:rPr>
        <w:t>steering group should monitor carefully strategies and documents with an impact</w:t>
      </w:r>
      <w:r w:rsidR="00B67195">
        <w:rPr>
          <w:sz w:val="18"/>
          <w:szCs w:val="18"/>
        </w:rPr>
        <w:t xml:space="preserve"> on housing policy produced by the Government, </w:t>
      </w:r>
      <w:r w:rsidR="00222E12">
        <w:rPr>
          <w:sz w:val="18"/>
          <w:szCs w:val="18"/>
        </w:rPr>
        <w:t>Broadland</w:t>
      </w:r>
      <w:r w:rsidR="00B67195">
        <w:rPr>
          <w:sz w:val="18"/>
          <w:szCs w:val="18"/>
        </w:rPr>
        <w:t xml:space="preserve"> or any other relevant party and review the Neighbourhood P</w:t>
      </w:r>
      <w:r w:rsidRPr="00965CE9">
        <w:rPr>
          <w:sz w:val="18"/>
          <w:szCs w:val="18"/>
        </w:rPr>
        <w:t xml:space="preserve">lan accordingly to ensure that general conformity is maintained. </w:t>
      </w:r>
    </w:p>
    <w:p w:rsidR="002C2D5C" w:rsidRPr="00965CE9" w:rsidRDefault="002C2D5C" w:rsidP="002C2D5C">
      <w:pPr>
        <w:pStyle w:val="ListNumber"/>
        <w:widowControl w:val="0"/>
        <w:jc w:val="both"/>
        <w:rPr>
          <w:sz w:val="18"/>
          <w:szCs w:val="18"/>
        </w:rPr>
      </w:pPr>
      <w:r w:rsidRPr="00965CE9">
        <w:rPr>
          <w:sz w:val="18"/>
          <w:szCs w:val="18"/>
        </w:rPr>
        <w:t xml:space="preserve">At the same time, monitoring on-going demographic or other trends over the </w:t>
      </w:r>
      <w:r w:rsidR="00B67195">
        <w:rPr>
          <w:sz w:val="18"/>
          <w:szCs w:val="18"/>
        </w:rPr>
        <w:t xml:space="preserve">Neighbourhood Plan </w:t>
      </w:r>
      <w:r w:rsidRPr="00965CE9">
        <w:rPr>
          <w:sz w:val="18"/>
          <w:szCs w:val="18"/>
        </w:rPr>
        <w:t xml:space="preserve">period </w:t>
      </w:r>
      <w:r w:rsidR="00B67195">
        <w:rPr>
          <w:sz w:val="18"/>
          <w:szCs w:val="18"/>
        </w:rPr>
        <w:t>will</w:t>
      </w:r>
      <w:r w:rsidRPr="00965CE9">
        <w:rPr>
          <w:sz w:val="18"/>
          <w:szCs w:val="18"/>
        </w:rPr>
        <w:t xml:space="preserve"> help ensure </w:t>
      </w:r>
      <w:r w:rsidR="00B67195">
        <w:rPr>
          <w:sz w:val="18"/>
          <w:szCs w:val="18"/>
        </w:rPr>
        <w:t xml:space="preserve">the continued </w:t>
      </w:r>
      <w:r w:rsidRPr="00965CE9">
        <w:rPr>
          <w:sz w:val="18"/>
          <w:szCs w:val="18"/>
        </w:rPr>
        <w:t>relevance and credibility of its policies.</w:t>
      </w:r>
    </w:p>
    <w:p w:rsidR="002C2D5C" w:rsidRDefault="002C2D5C" w:rsidP="002C2D5C">
      <w:pPr>
        <w:pStyle w:val="Appendix"/>
        <w:jc w:val="both"/>
      </w:pPr>
      <w:bookmarkStart w:id="151" w:name="_Toc503789804"/>
      <w:bookmarkStart w:id="152" w:name="_Toc505778377"/>
      <w:bookmarkStart w:id="153" w:name="_Toc2690291"/>
      <w:bookmarkStart w:id="154" w:name="_Ref4490838"/>
      <w:bookmarkStart w:id="155" w:name="_Ref4490843"/>
      <w:bookmarkStart w:id="156" w:name="_Toc33015875"/>
      <w:r>
        <w:lastRenderedPageBreak/>
        <w:t xml:space="preserve">: </w:t>
      </w:r>
      <w:bookmarkEnd w:id="151"/>
      <w:bookmarkEnd w:id="152"/>
      <w:r>
        <w:t>Calculation of Affordability Thresholds</w:t>
      </w:r>
      <w:bookmarkEnd w:id="153"/>
      <w:bookmarkEnd w:id="154"/>
      <w:bookmarkEnd w:id="155"/>
      <w:bookmarkEnd w:id="156"/>
    </w:p>
    <w:p w:rsidR="00173C13" w:rsidRPr="00A827A5" w:rsidRDefault="00173C13" w:rsidP="00173C13">
      <w:pPr>
        <w:pStyle w:val="Appendixheading2"/>
        <w:jc w:val="both"/>
      </w:pPr>
      <w:bookmarkStart w:id="157" w:name="_Toc33015876"/>
      <w:r>
        <w:t>Assessment geography</w:t>
      </w:r>
      <w:bookmarkEnd w:id="157"/>
    </w:p>
    <w:p w:rsidR="00173C13" w:rsidRDefault="00173C13" w:rsidP="00173C13">
      <w:pPr>
        <w:pStyle w:val="ListNumber"/>
        <w:widowControl w:val="0"/>
        <w:jc w:val="both"/>
        <w:rPr>
          <w:sz w:val="18"/>
          <w:szCs w:val="18"/>
        </w:rPr>
      </w:pPr>
      <w:r>
        <w:rPr>
          <w:sz w:val="18"/>
          <w:szCs w:val="18"/>
        </w:rPr>
        <w:t>As noted in the Tenure and Affordability chapter above, affordability thresholds can only be calculated on the basis</w:t>
      </w:r>
      <w:r w:rsidR="00703761">
        <w:rPr>
          <w:sz w:val="18"/>
          <w:szCs w:val="18"/>
        </w:rPr>
        <w:t xml:space="preserve"> of data on incomes across the Neighbourhood P</w:t>
      </w:r>
      <w:r>
        <w:rPr>
          <w:sz w:val="18"/>
          <w:szCs w:val="18"/>
        </w:rPr>
        <w:t xml:space="preserve">lan area. Such data is available at MSOA level but not at the level of neighbourhood plan areas. </w:t>
      </w:r>
    </w:p>
    <w:p w:rsidR="00173C13" w:rsidRDefault="00173C13" w:rsidP="00173C13">
      <w:pPr>
        <w:pStyle w:val="ListNumber"/>
        <w:widowControl w:val="0"/>
        <w:jc w:val="both"/>
        <w:rPr>
          <w:sz w:val="18"/>
          <w:szCs w:val="18"/>
        </w:rPr>
      </w:pPr>
      <w:r>
        <w:rPr>
          <w:sz w:val="18"/>
          <w:szCs w:val="18"/>
        </w:rPr>
        <w:t>As such, when calculating affordability thresholds, an MSOA needs to be selected th</w:t>
      </w:r>
      <w:r w:rsidR="00E160BD">
        <w:rPr>
          <w:sz w:val="18"/>
          <w:szCs w:val="18"/>
        </w:rPr>
        <w:t>at is a best-fit proxy for the Neighbourhood P</w:t>
      </w:r>
      <w:r>
        <w:rPr>
          <w:sz w:val="18"/>
          <w:szCs w:val="18"/>
        </w:rPr>
        <w:t xml:space="preserve">lan area. In the case of </w:t>
      </w:r>
      <w:r w:rsidR="00222E12">
        <w:rPr>
          <w:sz w:val="18"/>
          <w:szCs w:val="18"/>
        </w:rPr>
        <w:t>Reedham</w:t>
      </w:r>
      <w:r>
        <w:rPr>
          <w:sz w:val="18"/>
          <w:szCs w:val="18"/>
        </w:rPr>
        <w:t xml:space="preserve">, it is considered that MSOA </w:t>
      </w:r>
      <w:r w:rsidR="00D9115B">
        <w:rPr>
          <w:sz w:val="18"/>
          <w:szCs w:val="18"/>
        </w:rPr>
        <w:t>E02005537</w:t>
      </w:r>
      <w:r>
        <w:rPr>
          <w:sz w:val="18"/>
          <w:szCs w:val="18"/>
        </w:rPr>
        <w:t xml:space="preserve"> is the closest rea</w:t>
      </w:r>
      <w:r w:rsidR="00E160BD">
        <w:rPr>
          <w:sz w:val="18"/>
          <w:szCs w:val="18"/>
        </w:rPr>
        <w:t>listic proxy for the Neighbourhood P</w:t>
      </w:r>
      <w:r>
        <w:rPr>
          <w:sz w:val="18"/>
          <w:szCs w:val="18"/>
        </w:rPr>
        <w:t xml:space="preserve">lan area boundary, and as such, this is the assessment geography that has been selected. A map of </w:t>
      </w:r>
      <w:r w:rsidR="00631618">
        <w:rPr>
          <w:sz w:val="18"/>
          <w:szCs w:val="18"/>
        </w:rPr>
        <w:t xml:space="preserve">MSOA E02005537 </w:t>
      </w:r>
      <w:r>
        <w:rPr>
          <w:sz w:val="18"/>
          <w:szCs w:val="18"/>
        </w:rPr>
        <w:t xml:space="preserve">appears below in </w:t>
      </w:r>
      <w:r w:rsidR="001A69AC">
        <w:rPr>
          <w:sz w:val="18"/>
          <w:szCs w:val="18"/>
        </w:rPr>
        <w:fldChar w:fldCharType="begin"/>
      </w:r>
      <w:r>
        <w:rPr>
          <w:sz w:val="18"/>
          <w:szCs w:val="18"/>
        </w:rPr>
        <w:instrText xml:space="preserve"> REF _Ref8279737 \h </w:instrText>
      </w:r>
      <w:r w:rsidR="001A69AC">
        <w:rPr>
          <w:sz w:val="18"/>
          <w:szCs w:val="18"/>
        </w:rPr>
      </w:r>
      <w:r w:rsidR="001A69AC">
        <w:rPr>
          <w:sz w:val="18"/>
          <w:szCs w:val="18"/>
        </w:rPr>
        <w:fldChar w:fldCharType="separate"/>
      </w:r>
      <w:r w:rsidR="00E14AFB" w:rsidRPr="00965CE9">
        <w:rPr>
          <w:sz w:val="18"/>
          <w:szCs w:val="18"/>
        </w:rPr>
        <w:t xml:space="preserve">Figure </w:t>
      </w:r>
      <w:r w:rsidR="00E14AFB">
        <w:rPr>
          <w:noProof/>
          <w:sz w:val="18"/>
          <w:szCs w:val="18"/>
        </w:rPr>
        <w:t>11</w:t>
      </w:r>
      <w:r w:rsidR="00E14AFB" w:rsidRPr="00965CE9">
        <w:rPr>
          <w:sz w:val="18"/>
          <w:szCs w:val="18"/>
        </w:rPr>
        <w:noBreakHyphen/>
      </w:r>
      <w:r w:rsidR="00E14AFB">
        <w:rPr>
          <w:noProof/>
          <w:sz w:val="18"/>
          <w:szCs w:val="18"/>
        </w:rPr>
        <w:t>1</w:t>
      </w:r>
      <w:r w:rsidR="001A69AC">
        <w:rPr>
          <w:sz w:val="18"/>
          <w:szCs w:val="18"/>
        </w:rPr>
        <w:fldChar w:fldCharType="end"/>
      </w:r>
      <w:r>
        <w:rPr>
          <w:sz w:val="18"/>
          <w:szCs w:val="18"/>
        </w:rPr>
        <w:t xml:space="preserve">. </w:t>
      </w:r>
    </w:p>
    <w:p w:rsidR="00173C13" w:rsidRDefault="00173C13" w:rsidP="00173C13">
      <w:pPr>
        <w:pStyle w:val="Caption"/>
        <w:jc w:val="both"/>
        <w:rPr>
          <w:sz w:val="18"/>
          <w:szCs w:val="18"/>
        </w:rPr>
      </w:pPr>
      <w:bookmarkStart w:id="158" w:name="_Ref8279737"/>
      <w:r w:rsidRPr="00965CE9">
        <w:rPr>
          <w:sz w:val="18"/>
          <w:szCs w:val="18"/>
        </w:rPr>
        <w:t xml:space="preserve">Figure </w:t>
      </w:r>
      <w:r w:rsidR="001A69AC" w:rsidRPr="00965CE9">
        <w:rPr>
          <w:noProof/>
          <w:sz w:val="18"/>
          <w:szCs w:val="18"/>
        </w:rPr>
        <w:fldChar w:fldCharType="begin"/>
      </w:r>
      <w:r w:rsidRPr="00965CE9">
        <w:rPr>
          <w:noProof/>
          <w:sz w:val="18"/>
          <w:szCs w:val="18"/>
        </w:rPr>
        <w:instrText xml:space="preserve"> STYLEREF 1 \s </w:instrText>
      </w:r>
      <w:r w:rsidR="001A69AC" w:rsidRPr="00965CE9">
        <w:rPr>
          <w:noProof/>
          <w:sz w:val="18"/>
          <w:szCs w:val="18"/>
        </w:rPr>
        <w:fldChar w:fldCharType="separate"/>
      </w:r>
      <w:r w:rsidR="00E14AFB">
        <w:rPr>
          <w:noProof/>
          <w:sz w:val="18"/>
          <w:szCs w:val="18"/>
        </w:rPr>
        <w:t>11</w:t>
      </w:r>
      <w:r w:rsidR="001A69AC" w:rsidRPr="00965CE9">
        <w:rPr>
          <w:noProof/>
          <w:sz w:val="18"/>
          <w:szCs w:val="18"/>
        </w:rPr>
        <w:fldChar w:fldCharType="end"/>
      </w:r>
      <w:r w:rsidRPr="00965CE9">
        <w:rPr>
          <w:sz w:val="18"/>
          <w:szCs w:val="18"/>
        </w:rPr>
        <w:noBreakHyphen/>
      </w:r>
      <w:r w:rsidR="001A69AC" w:rsidRPr="00965CE9">
        <w:rPr>
          <w:noProof/>
          <w:sz w:val="18"/>
          <w:szCs w:val="18"/>
        </w:rPr>
        <w:fldChar w:fldCharType="begin"/>
      </w:r>
      <w:r w:rsidRPr="00965CE9">
        <w:rPr>
          <w:noProof/>
          <w:sz w:val="18"/>
          <w:szCs w:val="18"/>
        </w:rPr>
        <w:instrText xml:space="preserve"> SEQ Figure \* ARABIC \s 1 </w:instrText>
      </w:r>
      <w:r w:rsidR="001A69AC" w:rsidRPr="00965CE9">
        <w:rPr>
          <w:noProof/>
          <w:sz w:val="18"/>
          <w:szCs w:val="18"/>
        </w:rPr>
        <w:fldChar w:fldCharType="separate"/>
      </w:r>
      <w:r w:rsidR="00E14AFB">
        <w:rPr>
          <w:noProof/>
          <w:sz w:val="18"/>
          <w:szCs w:val="18"/>
        </w:rPr>
        <w:t>1</w:t>
      </w:r>
      <w:r w:rsidR="001A69AC" w:rsidRPr="00965CE9">
        <w:rPr>
          <w:noProof/>
          <w:sz w:val="18"/>
          <w:szCs w:val="18"/>
        </w:rPr>
        <w:fldChar w:fldCharType="end"/>
      </w:r>
      <w:bookmarkEnd w:id="158"/>
      <w:r>
        <w:rPr>
          <w:sz w:val="18"/>
          <w:szCs w:val="18"/>
          <w:lang w:val="en-US"/>
        </w:rPr>
        <w:t xml:space="preserve">: MSOA </w:t>
      </w:r>
      <w:r w:rsidR="00631618">
        <w:rPr>
          <w:sz w:val="18"/>
          <w:szCs w:val="18"/>
          <w:lang w:val="en-US"/>
        </w:rPr>
        <w:t xml:space="preserve">E02005537 </w:t>
      </w:r>
      <w:r>
        <w:rPr>
          <w:sz w:val="18"/>
          <w:szCs w:val="18"/>
          <w:lang w:val="en-US"/>
        </w:rPr>
        <w:t>used as a best-</w:t>
      </w:r>
      <w:r w:rsidR="00E160BD">
        <w:rPr>
          <w:sz w:val="18"/>
          <w:szCs w:val="18"/>
          <w:lang w:val="en-US"/>
        </w:rPr>
        <w:t>fit geographical proxy for the Neighbourhood P</w:t>
      </w:r>
      <w:r>
        <w:rPr>
          <w:sz w:val="18"/>
          <w:szCs w:val="18"/>
          <w:lang w:val="en-US"/>
        </w:rPr>
        <w:t>lan area</w:t>
      </w:r>
    </w:p>
    <w:p w:rsidR="00173C13" w:rsidRDefault="00173C13" w:rsidP="00173C13">
      <w:pPr>
        <w:pStyle w:val="ListNumber"/>
        <w:widowControl w:val="0"/>
        <w:numPr>
          <w:ilvl w:val="0"/>
          <w:numId w:val="0"/>
        </w:numPr>
        <w:ind w:left="425"/>
        <w:jc w:val="both"/>
        <w:rPr>
          <w:sz w:val="18"/>
          <w:szCs w:val="18"/>
        </w:rPr>
      </w:pPr>
    </w:p>
    <w:p w:rsidR="00631618" w:rsidRDefault="00631618" w:rsidP="00C17F03">
      <w:pPr>
        <w:pStyle w:val="ListNumber"/>
        <w:widowControl w:val="0"/>
        <w:numPr>
          <w:ilvl w:val="0"/>
          <w:numId w:val="0"/>
        </w:numPr>
        <w:jc w:val="both"/>
        <w:rPr>
          <w:sz w:val="18"/>
          <w:szCs w:val="18"/>
        </w:rPr>
      </w:pPr>
      <w:r>
        <w:rPr>
          <w:noProof/>
          <w:sz w:val="18"/>
          <w:szCs w:val="18"/>
          <w:lang w:val="en-GB"/>
        </w:rPr>
        <w:drawing>
          <wp:anchor distT="0" distB="0" distL="114300" distR="114300" simplePos="0" relativeHeight="251669504" behindDoc="0" locked="0" layoutInCell="1" allowOverlap="1">
            <wp:simplePos x="0" y="0"/>
            <wp:positionH relativeFrom="column">
              <wp:posOffset>272270</wp:posOffset>
            </wp:positionH>
            <wp:positionV relativeFrom="paragraph">
              <wp:posOffset>908</wp:posOffset>
            </wp:positionV>
            <wp:extent cx="6244590" cy="4485640"/>
            <wp:effectExtent l="0" t="0" r="3810" b="0"/>
            <wp:wrapTopAndBottom/>
            <wp:docPr id="3" name="Picture 3" descr="C:\Users\Elena.Butterworth\AppData\Local\Microsoft\Windows\INetCache\Content.MSO\31C53C5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ena.Butterworth\AppData\Local\Microsoft\Windows\INetCache\Content.MSO\31C53C54.tmp"/>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244590" cy="4485640"/>
                    </a:xfrm>
                    <a:prstGeom prst="rect">
                      <a:avLst/>
                    </a:prstGeom>
                    <a:noFill/>
                    <a:ln>
                      <a:noFill/>
                    </a:ln>
                  </pic:spPr>
                </pic:pic>
              </a:graphicData>
            </a:graphic>
          </wp:anchor>
        </w:drawing>
      </w:r>
    </w:p>
    <w:p w:rsidR="00173C13" w:rsidRPr="00173C13" w:rsidRDefault="00173C13" w:rsidP="00173C13">
      <w:pPr>
        <w:pStyle w:val="ListNumber"/>
        <w:widowControl w:val="0"/>
        <w:numPr>
          <w:ilvl w:val="0"/>
          <w:numId w:val="0"/>
        </w:numPr>
        <w:ind w:left="425"/>
        <w:jc w:val="both"/>
        <w:rPr>
          <w:i/>
          <w:sz w:val="18"/>
          <w:szCs w:val="18"/>
        </w:rPr>
      </w:pPr>
      <w:r>
        <w:rPr>
          <w:i/>
          <w:sz w:val="18"/>
          <w:szCs w:val="18"/>
        </w:rPr>
        <w:t>Source: ONS</w:t>
      </w:r>
    </w:p>
    <w:p w:rsidR="002C2D5C" w:rsidRPr="00A827A5" w:rsidRDefault="002C2D5C" w:rsidP="002C2D5C">
      <w:pPr>
        <w:pStyle w:val="Appendixheading2"/>
        <w:jc w:val="both"/>
      </w:pPr>
      <w:bookmarkStart w:id="159" w:name="_Toc2690292"/>
      <w:bookmarkStart w:id="160" w:name="_Toc33015877"/>
      <w:r w:rsidRPr="00A827A5">
        <w:t>Market housing</w:t>
      </w:r>
      <w:bookmarkEnd w:id="159"/>
      <w:bookmarkEnd w:id="160"/>
    </w:p>
    <w:p w:rsidR="002C2D5C" w:rsidRPr="003128DC" w:rsidRDefault="003128DC" w:rsidP="002C2D5C">
      <w:pPr>
        <w:pStyle w:val="ListNumber"/>
        <w:widowControl w:val="0"/>
        <w:jc w:val="both"/>
        <w:rPr>
          <w:sz w:val="18"/>
          <w:szCs w:val="18"/>
        </w:rPr>
      </w:pPr>
      <w:r w:rsidRPr="003128DC">
        <w:rPr>
          <w:sz w:val="18"/>
          <w:szCs w:val="18"/>
        </w:rPr>
        <w:t>Market dwellings are accessible to p</w:t>
      </w:r>
      <w:r w:rsidR="002C2D5C" w:rsidRPr="003128DC">
        <w:rPr>
          <w:sz w:val="18"/>
          <w:szCs w:val="18"/>
        </w:rPr>
        <w:t>eople on higher incomes</w:t>
      </w:r>
      <w:r w:rsidRPr="003128DC">
        <w:rPr>
          <w:sz w:val="18"/>
          <w:szCs w:val="18"/>
        </w:rPr>
        <w:t>. C</w:t>
      </w:r>
      <w:r w:rsidR="002C2D5C" w:rsidRPr="003128DC">
        <w:rPr>
          <w:sz w:val="18"/>
          <w:szCs w:val="18"/>
        </w:rPr>
        <w:t xml:space="preserve">hoices </w:t>
      </w:r>
      <w:r w:rsidRPr="003128DC">
        <w:rPr>
          <w:sz w:val="18"/>
          <w:szCs w:val="18"/>
        </w:rPr>
        <w:t xml:space="preserve">in the housing market are </w:t>
      </w:r>
      <w:r w:rsidR="002C2D5C" w:rsidRPr="003128DC">
        <w:rPr>
          <w:sz w:val="18"/>
          <w:szCs w:val="18"/>
        </w:rPr>
        <w:t>driven principally</w:t>
      </w:r>
      <w:r w:rsidRPr="003128DC">
        <w:rPr>
          <w:sz w:val="18"/>
          <w:szCs w:val="18"/>
        </w:rPr>
        <w:t xml:space="preserve"> by </w:t>
      </w:r>
      <w:r w:rsidR="002C2D5C" w:rsidRPr="003128DC">
        <w:rPr>
          <w:sz w:val="18"/>
          <w:szCs w:val="18"/>
        </w:rPr>
        <w:t>spend</w:t>
      </w:r>
      <w:r w:rsidRPr="003128DC">
        <w:rPr>
          <w:sz w:val="18"/>
          <w:szCs w:val="18"/>
        </w:rPr>
        <w:t>ing power, life stage, and</w:t>
      </w:r>
      <w:r w:rsidR="002C2D5C" w:rsidRPr="003128DC">
        <w:rPr>
          <w:sz w:val="18"/>
          <w:szCs w:val="18"/>
        </w:rPr>
        <w:t xml:space="preserve"> personal taste. </w:t>
      </w:r>
    </w:p>
    <w:p w:rsidR="003128DC" w:rsidRDefault="002C2D5C" w:rsidP="002C2D5C">
      <w:pPr>
        <w:pStyle w:val="ListNumber"/>
        <w:widowControl w:val="0"/>
        <w:jc w:val="both"/>
        <w:rPr>
          <w:sz w:val="18"/>
          <w:szCs w:val="18"/>
        </w:rPr>
      </w:pPr>
      <w:r w:rsidRPr="003128DC">
        <w:rPr>
          <w:sz w:val="18"/>
          <w:szCs w:val="18"/>
        </w:rPr>
        <w:t xml:space="preserve">The operation of the </w:t>
      </w:r>
      <w:r w:rsidR="003128DC">
        <w:rPr>
          <w:sz w:val="18"/>
          <w:szCs w:val="18"/>
        </w:rPr>
        <w:t xml:space="preserve">housing </w:t>
      </w:r>
      <w:r w:rsidRPr="003128DC">
        <w:rPr>
          <w:sz w:val="18"/>
          <w:szCs w:val="18"/>
        </w:rPr>
        <w:t>market is</w:t>
      </w:r>
      <w:r w:rsidR="003128DC">
        <w:rPr>
          <w:sz w:val="18"/>
          <w:szCs w:val="18"/>
        </w:rPr>
        <w:t>, in most circumstances,</w:t>
      </w:r>
      <w:r w:rsidRPr="003128DC">
        <w:rPr>
          <w:sz w:val="18"/>
          <w:szCs w:val="18"/>
        </w:rPr>
        <w:t xml:space="preserve"> the best means of addressing the demand for different types of housing for sale. </w:t>
      </w:r>
      <w:r w:rsidR="003128DC" w:rsidRPr="003128DC">
        <w:rPr>
          <w:sz w:val="18"/>
          <w:szCs w:val="18"/>
        </w:rPr>
        <w:t xml:space="preserve">For this reason, </w:t>
      </w:r>
      <w:r w:rsidR="003128DC">
        <w:rPr>
          <w:sz w:val="18"/>
          <w:szCs w:val="18"/>
        </w:rPr>
        <w:t>i</w:t>
      </w:r>
      <w:r w:rsidRPr="003128DC">
        <w:rPr>
          <w:sz w:val="18"/>
          <w:szCs w:val="18"/>
        </w:rPr>
        <w:t xml:space="preserve">t is important </w:t>
      </w:r>
      <w:r w:rsidR="003128DC">
        <w:rPr>
          <w:sz w:val="18"/>
          <w:szCs w:val="18"/>
        </w:rPr>
        <w:t xml:space="preserve">that </w:t>
      </w:r>
      <w:r w:rsidRPr="003128DC">
        <w:rPr>
          <w:sz w:val="18"/>
          <w:szCs w:val="18"/>
        </w:rPr>
        <w:t>planning policy does not place unnecessary burdens on the market preventing its ability to respo</w:t>
      </w:r>
      <w:r w:rsidR="003128DC">
        <w:rPr>
          <w:sz w:val="18"/>
          <w:szCs w:val="18"/>
        </w:rPr>
        <w:t xml:space="preserve">nd to demand, because this is </w:t>
      </w:r>
      <w:r w:rsidRPr="003128DC">
        <w:rPr>
          <w:sz w:val="18"/>
          <w:szCs w:val="18"/>
        </w:rPr>
        <w:t>the principal way equilib</w:t>
      </w:r>
      <w:r w:rsidR="003128DC">
        <w:rPr>
          <w:sz w:val="18"/>
          <w:szCs w:val="18"/>
        </w:rPr>
        <w:t xml:space="preserve">rium is achieved in the </w:t>
      </w:r>
      <w:r w:rsidRPr="003128DC">
        <w:rPr>
          <w:sz w:val="18"/>
          <w:szCs w:val="18"/>
        </w:rPr>
        <w:t xml:space="preserve">market and </w:t>
      </w:r>
      <w:r w:rsidR="003128DC">
        <w:rPr>
          <w:sz w:val="18"/>
          <w:szCs w:val="18"/>
        </w:rPr>
        <w:t xml:space="preserve">thus </w:t>
      </w:r>
      <w:r w:rsidRPr="003128DC">
        <w:rPr>
          <w:sz w:val="18"/>
          <w:szCs w:val="18"/>
        </w:rPr>
        <w:t xml:space="preserve">house price growth kept in check. </w:t>
      </w:r>
    </w:p>
    <w:p w:rsidR="002C2D5C" w:rsidRPr="003128DC" w:rsidRDefault="003128DC" w:rsidP="002C2D5C">
      <w:pPr>
        <w:pStyle w:val="ListNumber"/>
        <w:widowControl w:val="0"/>
        <w:jc w:val="both"/>
        <w:rPr>
          <w:sz w:val="18"/>
          <w:szCs w:val="18"/>
        </w:rPr>
      </w:pPr>
      <w:r>
        <w:rPr>
          <w:sz w:val="18"/>
          <w:szCs w:val="18"/>
        </w:rPr>
        <w:lastRenderedPageBreak/>
        <w:t>In this sense</w:t>
      </w:r>
      <w:r w:rsidR="002C2D5C" w:rsidRPr="003128DC">
        <w:rPr>
          <w:sz w:val="18"/>
          <w:szCs w:val="18"/>
        </w:rPr>
        <w:t xml:space="preserve">, the notion of </w:t>
      </w:r>
      <w:r>
        <w:rPr>
          <w:sz w:val="18"/>
          <w:szCs w:val="18"/>
        </w:rPr>
        <w:t xml:space="preserve">development </w:t>
      </w:r>
      <w:r w:rsidR="002C2D5C" w:rsidRPr="003128DC">
        <w:rPr>
          <w:sz w:val="18"/>
          <w:szCs w:val="18"/>
        </w:rPr>
        <w:t xml:space="preserve">viability is essential. It is important not to deter development in the context of clear housing need; to do so will not only frustrate the delivery of new housing but also may deprive the community of resources for infrastructure improvements. </w:t>
      </w:r>
    </w:p>
    <w:p w:rsidR="002C2D5C" w:rsidRPr="003128DC" w:rsidRDefault="002C2D5C" w:rsidP="002C2D5C">
      <w:pPr>
        <w:pStyle w:val="ListNumber"/>
        <w:widowControl w:val="0"/>
        <w:jc w:val="both"/>
        <w:rPr>
          <w:sz w:val="18"/>
          <w:szCs w:val="18"/>
        </w:rPr>
      </w:pPr>
      <w:r w:rsidRPr="003128DC">
        <w:rPr>
          <w:sz w:val="18"/>
          <w:szCs w:val="18"/>
        </w:rPr>
        <w:t xml:space="preserve">To determine affordability in market housing, </w:t>
      </w:r>
      <w:r w:rsidR="002B4670">
        <w:rPr>
          <w:sz w:val="18"/>
          <w:szCs w:val="18"/>
        </w:rPr>
        <w:t>the assessment</w:t>
      </w:r>
      <w:r w:rsidR="002B4670" w:rsidRPr="003128DC">
        <w:rPr>
          <w:sz w:val="18"/>
          <w:szCs w:val="18"/>
        </w:rPr>
        <w:t xml:space="preserve"> </w:t>
      </w:r>
      <w:r w:rsidR="003128DC">
        <w:rPr>
          <w:sz w:val="18"/>
          <w:szCs w:val="18"/>
        </w:rPr>
        <w:t>consider</w:t>
      </w:r>
      <w:r w:rsidR="002B4670">
        <w:rPr>
          <w:sz w:val="18"/>
          <w:szCs w:val="18"/>
        </w:rPr>
        <w:t>s</w:t>
      </w:r>
      <w:r w:rsidR="003128DC">
        <w:rPr>
          <w:sz w:val="18"/>
          <w:szCs w:val="18"/>
        </w:rPr>
        <w:t xml:space="preserve"> two primary indicators:</w:t>
      </w:r>
      <w:r w:rsidRPr="003128DC">
        <w:rPr>
          <w:sz w:val="18"/>
          <w:szCs w:val="18"/>
        </w:rPr>
        <w:t xml:space="preserve"> income thresholds, which denote the maximum share of a family’s income that should be spent on accommodation costs, and purchase thresholds, which denote the stand</w:t>
      </w:r>
      <w:r w:rsidR="003128DC">
        <w:rPr>
          <w:sz w:val="18"/>
          <w:szCs w:val="18"/>
        </w:rPr>
        <w:t>ard household income required</w:t>
      </w:r>
      <w:r w:rsidRPr="003128DC">
        <w:rPr>
          <w:sz w:val="18"/>
          <w:szCs w:val="18"/>
        </w:rPr>
        <w:t xml:space="preserve"> to access mortgage products.</w:t>
      </w:r>
    </w:p>
    <w:p w:rsidR="002C2D5C" w:rsidRPr="00A827A5" w:rsidRDefault="002C2D5C" w:rsidP="002C2D5C">
      <w:pPr>
        <w:pStyle w:val="Appendixheading2"/>
        <w:keepNext w:val="0"/>
        <w:keepLines w:val="0"/>
        <w:widowControl w:val="0"/>
        <w:numPr>
          <w:ilvl w:val="2"/>
          <w:numId w:val="21"/>
        </w:numPr>
        <w:jc w:val="both"/>
      </w:pPr>
      <w:bookmarkStart w:id="161" w:name="_Toc2690293"/>
      <w:bookmarkStart w:id="162" w:name="_Toc33015878"/>
      <w:r w:rsidRPr="00A827A5">
        <w:t>Market sales</w:t>
      </w:r>
      <w:bookmarkEnd w:id="161"/>
      <w:bookmarkEnd w:id="162"/>
    </w:p>
    <w:p w:rsidR="003128DC" w:rsidRDefault="002C2D5C" w:rsidP="002C2D5C">
      <w:pPr>
        <w:pStyle w:val="ListNumber"/>
        <w:spacing w:before="0"/>
        <w:jc w:val="both"/>
        <w:rPr>
          <w:sz w:val="18"/>
          <w:szCs w:val="18"/>
          <w:lang w:val="en-GB"/>
        </w:rPr>
      </w:pPr>
      <w:r w:rsidRPr="003128DC">
        <w:rPr>
          <w:sz w:val="18"/>
          <w:szCs w:val="18"/>
          <w:lang w:val="en-GB"/>
        </w:rPr>
        <w:t xml:space="preserve">The starting point for calculating </w:t>
      </w:r>
      <w:r w:rsidR="003128DC">
        <w:rPr>
          <w:sz w:val="18"/>
          <w:szCs w:val="18"/>
          <w:lang w:val="en-GB"/>
        </w:rPr>
        <w:t xml:space="preserve">the affordability of a </w:t>
      </w:r>
      <w:r w:rsidRPr="003128DC">
        <w:rPr>
          <w:sz w:val="18"/>
          <w:szCs w:val="18"/>
          <w:lang w:val="en-GB"/>
        </w:rPr>
        <w:t>dwelling</w:t>
      </w:r>
      <w:r w:rsidR="003128DC">
        <w:rPr>
          <w:sz w:val="18"/>
          <w:szCs w:val="18"/>
          <w:lang w:val="en-GB"/>
        </w:rPr>
        <w:t xml:space="preserve"> for sale (i.e. the </w:t>
      </w:r>
      <w:r w:rsidR="00DA2F87">
        <w:rPr>
          <w:sz w:val="18"/>
          <w:szCs w:val="18"/>
          <w:lang w:val="en-GB"/>
        </w:rPr>
        <w:t>purchase threshold</w:t>
      </w:r>
      <w:r w:rsidR="003128DC">
        <w:rPr>
          <w:sz w:val="18"/>
          <w:szCs w:val="18"/>
          <w:lang w:val="en-GB"/>
        </w:rPr>
        <w:t>)</w:t>
      </w:r>
      <w:r w:rsidRPr="003128DC">
        <w:rPr>
          <w:sz w:val="18"/>
          <w:szCs w:val="18"/>
          <w:lang w:val="en-GB"/>
        </w:rPr>
        <w:t xml:space="preserve"> </w:t>
      </w:r>
      <w:r w:rsidR="003128DC">
        <w:rPr>
          <w:sz w:val="18"/>
          <w:szCs w:val="18"/>
          <w:lang w:val="en-GB"/>
        </w:rPr>
        <w:t>from the perspective of a specific</w:t>
      </w:r>
      <w:r w:rsidRPr="003128DC">
        <w:rPr>
          <w:sz w:val="18"/>
          <w:szCs w:val="18"/>
          <w:lang w:val="en-GB"/>
        </w:rPr>
        <w:t xml:space="preserve"> househol</w:t>
      </w:r>
      <w:r w:rsidR="003128DC">
        <w:rPr>
          <w:sz w:val="18"/>
          <w:szCs w:val="18"/>
          <w:lang w:val="en-GB"/>
        </w:rPr>
        <w:t xml:space="preserve">d is the loan to </w:t>
      </w:r>
      <w:r w:rsidR="00434080">
        <w:rPr>
          <w:sz w:val="18"/>
          <w:szCs w:val="18"/>
          <w:lang w:val="en-GB"/>
        </w:rPr>
        <w:t>income</w:t>
      </w:r>
      <w:r w:rsidR="003128DC">
        <w:rPr>
          <w:sz w:val="18"/>
          <w:szCs w:val="18"/>
          <w:lang w:val="en-GB"/>
        </w:rPr>
        <w:t xml:space="preserve"> ratio </w:t>
      </w:r>
      <w:r w:rsidRPr="003128DC">
        <w:rPr>
          <w:sz w:val="18"/>
          <w:szCs w:val="18"/>
          <w:lang w:val="en-GB"/>
        </w:rPr>
        <w:t xml:space="preserve">which most mortgage companies are prepared to agree. This </w:t>
      </w:r>
      <w:r w:rsidR="003128DC">
        <w:rPr>
          <w:sz w:val="18"/>
          <w:szCs w:val="18"/>
          <w:lang w:val="en-GB"/>
        </w:rPr>
        <w:t xml:space="preserve">ratio </w:t>
      </w:r>
      <w:r w:rsidRPr="003128DC">
        <w:rPr>
          <w:sz w:val="18"/>
          <w:szCs w:val="18"/>
          <w:lang w:val="en-GB"/>
        </w:rPr>
        <w:t xml:space="preserve">is conservatively estimated to be 3.5. </w:t>
      </w:r>
    </w:p>
    <w:p w:rsidR="002C2D5C" w:rsidRDefault="003128DC" w:rsidP="002C2D5C">
      <w:pPr>
        <w:pStyle w:val="ListNumber"/>
        <w:spacing w:before="0"/>
        <w:jc w:val="both"/>
        <w:rPr>
          <w:sz w:val="18"/>
          <w:szCs w:val="18"/>
          <w:lang w:val="en-GB"/>
        </w:rPr>
      </w:pPr>
      <w:r>
        <w:rPr>
          <w:sz w:val="18"/>
          <w:szCs w:val="18"/>
          <w:lang w:val="en-GB"/>
        </w:rPr>
        <w:t>T</w:t>
      </w:r>
      <w:r w:rsidR="002C2D5C" w:rsidRPr="003128DC">
        <w:rPr>
          <w:sz w:val="18"/>
          <w:szCs w:val="18"/>
          <w:lang w:val="en-GB"/>
        </w:rPr>
        <w:t xml:space="preserve">o produce a more accurate assessment of affordability, both the savings available for a deposit and the equity in the home from which the buyer is moving (if not a first-time buyer) should be taken into account. However, this data is not available for </w:t>
      </w:r>
      <w:r w:rsidR="00204C12">
        <w:rPr>
          <w:sz w:val="18"/>
          <w:szCs w:val="18"/>
          <w:lang w:val="en-GB"/>
        </w:rPr>
        <w:t>Reedham</w:t>
      </w:r>
      <w:r>
        <w:rPr>
          <w:sz w:val="18"/>
          <w:szCs w:val="18"/>
          <w:lang w:val="en-GB"/>
        </w:rPr>
        <w:t>. As such, a reasonable</w:t>
      </w:r>
      <w:r w:rsidR="002C2D5C" w:rsidRPr="003128DC">
        <w:rPr>
          <w:sz w:val="18"/>
          <w:szCs w:val="18"/>
          <w:lang w:val="en-GB"/>
        </w:rPr>
        <w:t xml:space="preserve"> assumption is therefore made that a 10% purchase deposit is available to the prospective buyer. </w:t>
      </w:r>
    </w:p>
    <w:p w:rsidR="00F468DD" w:rsidRPr="00F468DD" w:rsidRDefault="00F468DD" w:rsidP="00F468DD">
      <w:pPr>
        <w:pStyle w:val="ListNumber"/>
        <w:rPr>
          <w:sz w:val="18"/>
          <w:szCs w:val="18"/>
          <w:lang w:val="en-GB"/>
        </w:rPr>
      </w:pPr>
      <w:r w:rsidRPr="00F468DD">
        <w:rPr>
          <w:sz w:val="18"/>
          <w:szCs w:val="18"/>
          <w:lang w:val="en-GB"/>
        </w:rPr>
        <w:t>The value of an entry-level dwelling is considered the best representation of the segment of market housing most likely to be accessible to those on lower incomes.</w:t>
      </w:r>
      <w:r w:rsidRPr="003128DC">
        <w:rPr>
          <w:rStyle w:val="FootnoteReference"/>
          <w:rFonts w:ascii="Arial" w:hAnsi="Arial"/>
          <w:color w:val="000000"/>
          <w:sz w:val="18"/>
          <w:szCs w:val="18"/>
        </w:rPr>
        <w:footnoteReference w:id="28"/>
      </w:r>
      <w:r w:rsidRPr="00F468DD">
        <w:rPr>
          <w:sz w:val="18"/>
          <w:szCs w:val="18"/>
          <w:lang w:val="en-GB"/>
        </w:rPr>
        <w:t xml:space="preserve"> The value of an entry level dwelling used here is the lower quartile average house price from sales data from Land Registry over the year 2018.</w:t>
      </w:r>
    </w:p>
    <w:p w:rsidR="002C2D5C" w:rsidRPr="003128DC" w:rsidRDefault="002C2D5C" w:rsidP="002C2D5C">
      <w:pPr>
        <w:pStyle w:val="ListNumber"/>
        <w:widowControl w:val="0"/>
        <w:jc w:val="both"/>
        <w:rPr>
          <w:sz w:val="18"/>
          <w:szCs w:val="18"/>
        </w:rPr>
      </w:pPr>
      <w:r w:rsidRPr="003128DC">
        <w:rPr>
          <w:sz w:val="18"/>
          <w:szCs w:val="18"/>
        </w:rPr>
        <w:t>The calculation is therefore:</w:t>
      </w:r>
    </w:p>
    <w:p w:rsidR="002C2D5C" w:rsidRPr="003128DC" w:rsidRDefault="002C2D5C" w:rsidP="002C2D5C">
      <w:pPr>
        <w:pStyle w:val="ListBullet"/>
        <w:spacing w:before="0" w:line="240" w:lineRule="atLeast"/>
        <w:jc w:val="both"/>
        <w:rPr>
          <w:sz w:val="18"/>
          <w:szCs w:val="18"/>
        </w:rPr>
      </w:pPr>
      <w:r w:rsidRPr="003128DC">
        <w:rPr>
          <w:sz w:val="18"/>
          <w:szCs w:val="18"/>
        </w:rPr>
        <w:t xml:space="preserve">Value of an ‘entry level dwelling’ = </w:t>
      </w:r>
      <w:r w:rsidR="003128DC">
        <w:rPr>
          <w:sz w:val="18"/>
          <w:szCs w:val="18"/>
        </w:rPr>
        <w:t>£</w:t>
      </w:r>
      <w:r w:rsidR="00C17F03">
        <w:rPr>
          <w:sz w:val="18"/>
          <w:szCs w:val="18"/>
        </w:rPr>
        <w:t>17</w:t>
      </w:r>
      <w:r w:rsidR="008A0CC0">
        <w:rPr>
          <w:sz w:val="18"/>
          <w:szCs w:val="18"/>
        </w:rPr>
        <w:t>8,750</w:t>
      </w:r>
      <w:r w:rsidR="003128DC">
        <w:rPr>
          <w:sz w:val="18"/>
          <w:szCs w:val="18"/>
        </w:rPr>
        <w:t>;</w:t>
      </w:r>
    </w:p>
    <w:p w:rsidR="002C2D5C" w:rsidRPr="003128DC" w:rsidRDefault="002C2D5C" w:rsidP="002C2D5C">
      <w:pPr>
        <w:pStyle w:val="ListBullet"/>
        <w:spacing w:before="0" w:line="240" w:lineRule="atLeast"/>
        <w:jc w:val="both"/>
        <w:rPr>
          <w:sz w:val="18"/>
          <w:szCs w:val="18"/>
        </w:rPr>
      </w:pPr>
      <w:r w:rsidRPr="003128DC">
        <w:rPr>
          <w:sz w:val="18"/>
          <w:szCs w:val="18"/>
        </w:rPr>
        <w:t xml:space="preserve">Purchase deposit = </w:t>
      </w:r>
      <w:r w:rsidR="003128DC">
        <w:rPr>
          <w:sz w:val="18"/>
          <w:szCs w:val="18"/>
        </w:rPr>
        <w:t>£</w:t>
      </w:r>
      <w:r w:rsidR="008A0CC0">
        <w:rPr>
          <w:sz w:val="18"/>
          <w:szCs w:val="18"/>
        </w:rPr>
        <w:t>17,875</w:t>
      </w:r>
      <w:r w:rsidRPr="003128DC">
        <w:rPr>
          <w:sz w:val="18"/>
          <w:szCs w:val="18"/>
        </w:rPr>
        <w:t xml:space="preserve"> @10% of value</w:t>
      </w:r>
      <w:r w:rsidR="003128DC">
        <w:rPr>
          <w:sz w:val="18"/>
          <w:szCs w:val="18"/>
        </w:rPr>
        <w:t>;</w:t>
      </w:r>
    </w:p>
    <w:p w:rsidR="002C2D5C" w:rsidRPr="003128DC" w:rsidRDefault="002C2D5C" w:rsidP="002C2D5C">
      <w:pPr>
        <w:pStyle w:val="ListBullet"/>
        <w:spacing w:before="0" w:line="240" w:lineRule="atLeast"/>
        <w:jc w:val="both"/>
        <w:rPr>
          <w:sz w:val="18"/>
          <w:szCs w:val="18"/>
        </w:rPr>
      </w:pPr>
      <w:r w:rsidRPr="003128DC">
        <w:rPr>
          <w:sz w:val="18"/>
          <w:szCs w:val="18"/>
        </w:rPr>
        <w:t xml:space="preserve">Value of dwelling for mortgage purposes = </w:t>
      </w:r>
      <w:r w:rsidR="003128DC">
        <w:rPr>
          <w:sz w:val="18"/>
          <w:szCs w:val="18"/>
        </w:rPr>
        <w:t>£</w:t>
      </w:r>
      <w:r w:rsidR="008A0CC0">
        <w:rPr>
          <w:sz w:val="18"/>
          <w:szCs w:val="18"/>
        </w:rPr>
        <w:t>160,875</w:t>
      </w:r>
      <w:r w:rsidR="003128DC">
        <w:rPr>
          <w:sz w:val="18"/>
          <w:szCs w:val="18"/>
        </w:rPr>
        <w:t>;</w:t>
      </w:r>
    </w:p>
    <w:p w:rsidR="002C2D5C" w:rsidRPr="003128DC" w:rsidRDefault="002C2D5C" w:rsidP="002C2D5C">
      <w:pPr>
        <w:pStyle w:val="ListBullet"/>
        <w:spacing w:before="0" w:line="240" w:lineRule="atLeast"/>
        <w:jc w:val="both"/>
        <w:rPr>
          <w:sz w:val="18"/>
          <w:szCs w:val="18"/>
        </w:rPr>
      </w:pPr>
      <w:r w:rsidRPr="003128DC">
        <w:rPr>
          <w:sz w:val="18"/>
          <w:szCs w:val="18"/>
        </w:rPr>
        <w:t xml:space="preserve">Loan to </w:t>
      </w:r>
      <w:r w:rsidR="00434080">
        <w:rPr>
          <w:sz w:val="18"/>
          <w:szCs w:val="18"/>
        </w:rPr>
        <w:t>incom</w:t>
      </w:r>
      <w:r w:rsidRPr="003128DC">
        <w:rPr>
          <w:sz w:val="18"/>
          <w:szCs w:val="18"/>
        </w:rPr>
        <w:t xml:space="preserve">e ratio = value of </w:t>
      </w:r>
      <w:r w:rsidR="00BC5A06">
        <w:rPr>
          <w:sz w:val="18"/>
          <w:szCs w:val="18"/>
        </w:rPr>
        <w:t xml:space="preserve">dwelling for </w:t>
      </w:r>
      <w:r w:rsidRPr="003128DC">
        <w:rPr>
          <w:sz w:val="18"/>
          <w:szCs w:val="18"/>
        </w:rPr>
        <w:t>mortgage</w:t>
      </w:r>
      <w:r w:rsidR="00BC5A06">
        <w:rPr>
          <w:sz w:val="18"/>
          <w:szCs w:val="18"/>
        </w:rPr>
        <w:t xml:space="preserve"> purposes divided by </w:t>
      </w:r>
      <w:r w:rsidR="00BC5A06" w:rsidRPr="003128DC">
        <w:rPr>
          <w:sz w:val="18"/>
          <w:szCs w:val="18"/>
        </w:rPr>
        <w:t>3.5</w:t>
      </w:r>
      <w:r w:rsidR="003128DC">
        <w:rPr>
          <w:sz w:val="18"/>
          <w:szCs w:val="18"/>
        </w:rPr>
        <w:t>;</w:t>
      </w:r>
    </w:p>
    <w:p w:rsidR="002C2D5C" w:rsidRPr="003128DC" w:rsidRDefault="002C2D5C" w:rsidP="002C2D5C">
      <w:pPr>
        <w:pStyle w:val="ListBullet"/>
        <w:spacing w:before="0" w:line="240" w:lineRule="atLeast"/>
        <w:jc w:val="both"/>
        <w:rPr>
          <w:b/>
          <w:sz w:val="18"/>
          <w:szCs w:val="18"/>
        </w:rPr>
      </w:pPr>
      <w:r w:rsidRPr="003128DC">
        <w:rPr>
          <w:b/>
          <w:sz w:val="18"/>
          <w:szCs w:val="18"/>
        </w:rPr>
        <w:t xml:space="preserve">Purchase threshold = </w:t>
      </w:r>
      <w:r w:rsidR="003128DC">
        <w:rPr>
          <w:b/>
          <w:sz w:val="18"/>
          <w:szCs w:val="18"/>
        </w:rPr>
        <w:t>£</w:t>
      </w:r>
      <w:r w:rsidR="008A0CC0">
        <w:rPr>
          <w:b/>
          <w:sz w:val="18"/>
          <w:szCs w:val="18"/>
        </w:rPr>
        <w:t>45,964</w:t>
      </w:r>
      <w:r w:rsidR="008D6BB7">
        <w:rPr>
          <w:b/>
          <w:sz w:val="18"/>
          <w:szCs w:val="18"/>
        </w:rPr>
        <w:t>.</w:t>
      </w:r>
    </w:p>
    <w:p w:rsidR="002C2D5C" w:rsidRPr="00A827A5" w:rsidRDefault="002C2D5C" w:rsidP="002C2D5C">
      <w:pPr>
        <w:pStyle w:val="Appendixheading2"/>
        <w:keepNext w:val="0"/>
        <w:keepLines w:val="0"/>
        <w:widowControl w:val="0"/>
        <w:numPr>
          <w:ilvl w:val="2"/>
          <w:numId w:val="21"/>
        </w:numPr>
        <w:jc w:val="both"/>
      </w:pPr>
      <w:bookmarkStart w:id="163" w:name="_Toc2690294"/>
      <w:bookmarkStart w:id="164" w:name="_Toc33015879"/>
      <w:r w:rsidRPr="00A827A5">
        <w:t>Private Rented Sector (PRS)</w:t>
      </w:r>
      <w:bookmarkEnd w:id="163"/>
      <w:bookmarkEnd w:id="164"/>
    </w:p>
    <w:p w:rsidR="002C2D5C" w:rsidRPr="003128DC" w:rsidRDefault="002C2D5C" w:rsidP="002C2D5C">
      <w:pPr>
        <w:pStyle w:val="ListNumber"/>
        <w:spacing w:before="0"/>
        <w:jc w:val="both"/>
        <w:rPr>
          <w:sz w:val="18"/>
          <w:szCs w:val="18"/>
          <w:lang w:val="en-GB"/>
        </w:rPr>
      </w:pPr>
      <w:r w:rsidRPr="003128DC">
        <w:rPr>
          <w:sz w:val="18"/>
          <w:szCs w:val="18"/>
          <w:lang w:val="en-GB"/>
        </w:rPr>
        <w:t>Income thresholds are used to calculate the affordabil</w:t>
      </w:r>
      <w:r w:rsidR="003128DC">
        <w:rPr>
          <w:sz w:val="18"/>
          <w:szCs w:val="18"/>
          <w:lang w:val="en-GB"/>
        </w:rPr>
        <w:t>ity of rented and affordable housing</w:t>
      </w:r>
      <w:r w:rsidRPr="003128DC">
        <w:rPr>
          <w:sz w:val="18"/>
          <w:szCs w:val="18"/>
          <w:lang w:val="en-GB"/>
        </w:rPr>
        <w:t xml:space="preserve"> tenures. Households are deemed able to afford </w:t>
      </w:r>
      <w:r w:rsidR="003128DC">
        <w:rPr>
          <w:sz w:val="18"/>
          <w:szCs w:val="18"/>
          <w:lang w:val="en-GB"/>
        </w:rPr>
        <w:t xml:space="preserve">a </w:t>
      </w:r>
      <w:r w:rsidRPr="003128DC">
        <w:rPr>
          <w:sz w:val="18"/>
          <w:szCs w:val="18"/>
          <w:lang w:val="en-GB"/>
        </w:rPr>
        <w:t>private rent</w:t>
      </w:r>
      <w:r w:rsidR="002B4670">
        <w:rPr>
          <w:sz w:val="18"/>
          <w:szCs w:val="18"/>
          <w:lang w:val="en-GB"/>
        </w:rPr>
        <w:t>ed</w:t>
      </w:r>
      <w:r w:rsidRPr="003128DC">
        <w:rPr>
          <w:sz w:val="18"/>
          <w:szCs w:val="18"/>
          <w:lang w:val="en-GB"/>
        </w:rPr>
        <w:t xml:space="preserve"> </w:t>
      </w:r>
      <w:r w:rsidR="003128DC">
        <w:rPr>
          <w:sz w:val="18"/>
          <w:szCs w:val="18"/>
          <w:lang w:val="en-GB"/>
        </w:rPr>
        <w:t xml:space="preserve">property </w:t>
      </w:r>
      <w:r w:rsidRPr="003128DC">
        <w:rPr>
          <w:sz w:val="18"/>
          <w:szCs w:val="18"/>
          <w:lang w:val="en-GB"/>
        </w:rPr>
        <w:t>if the lower quartile private rent does not exceed 25% of gross household income</w:t>
      </w:r>
      <w:r w:rsidR="003919AB">
        <w:rPr>
          <w:sz w:val="18"/>
          <w:szCs w:val="18"/>
          <w:lang w:val="en-GB"/>
        </w:rPr>
        <w:t>.</w:t>
      </w:r>
    </w:p>
    <w:p w:rsidR="002C2D5C" w:rsidRPr="003128DC" w:rsidRDefault="003128DC" w:rsidP="002C2D5C">
      <w:pPr>
        <w:pStyle w:val="ListNumber"/>
        <w:spacing w:before="0"/>
        <w:jc w:val="both"/>
        <w:rPr>
          <w:sz w:val="18"/>
          <w:szCs w:val="18"/>
          <w:lang w:val="en-GB"/>
        </w:rPr>
      </w:pPr>
      <w:r>
        <w:rPr>
          <w:sz w:val="18"/>
          <w:szCs w:val="18"/>
          <w:lang w:val="en-GB"/>
        </w:rPr>
        <w:t xml:space="preserve">It is assumed that </w:t>
      </w:r>
      <w:r w:rsidR="002C2D5C" w:rsidRPr="003128DC">
        <w:rPr>
          <w:sz w:val="18"/>
          <w:szCs w:val="18"/>
          <w:lang w:val="en-GB"/>
        </w:rPr>
        <w:t>lower quartile private rent</w:t>
      </w:r>
      <w:r>
        <w:rPr>
          <w:sz w:val="18"/>
          <w:szCs w:val="18"/>
          <w:lang w:val="en-GB"/>
        </w:rPr>
        <w:t xml:space="preserve"> equates to the average rent paid </w:t>
      </w:r>
      <w:r w:rsidR="002C2D5C" w:rsidRPr="003128DC">
        <w:rPr>
          <w:sz w:val="18"/>
          <w:szCs w:val="18"/>
          <w:lang w:val="en-GB"/>
        </w:rPr>
        <w:t xml:space="preserve">in </w:t>
      </w:r>
      <w:r w:rsidR="00450792">
        <w:rPr>
          <w:sz w:val="18"/>
          <w:szCs w:val="18"/>
          <w:lang w:val="en-GB"/>
        </w:rPr>
        <w:t xml:space="preserve">the </w:t>
      </w:r>
      <w:r w:rsidR="00E160BD">
        <w:rPr>
          <w:sz w:val="18"/>
          <w:szCs w:val="18"/>
          <w:lang w:val="en-GB"/>
        </w:rPr>
        <w:t>Neighbourhood P</w:t>
      </w:r>
      <w:r w:rsidR="005F50BC" w:rsidRPr="003128DC">
        <w:rPr>
          <w:sz w:val="18"/>
          <w:szCs w:val="18"/>
          <w:lang w:val="en-GB"/>
        </w:rPr>
        <w:t>lan area</w:t>
      </w:r>
      <w:r w:rsidR="002C2D5C" w:rsidRPr="003128DC">
        <w:rPr>
          <w:sz w:val="18"/>
          <w:szCs w:val="18"/>
          <w:lang w:val="en-GB"/>
        </w:rPr>
        <w:t xml:space="preserve"> for a two-bedroom dwelling (enough </w:t>
      </w:r>
      <w:r w:rsidR="008D6BB7">
        <w:rPr>
          <w:sz w:val="18"/>
          <w:szCs w:val="18"/>
          <w:lang w:val="en-GB"/>
        </w:rPr>
        <w:t xml:space="preserve">living </w:t>
      </w:r>
      <w:r w:rsidR="002C2D5C" w:rsidRPr="003128DC">
        <w:rPr>
          <w:sz w:val="18"/>
          <w:szCs w:val="18"/>
          <w:lang w:val="en-GB"/>
        </w:rPr>
        <w:t xml:space="preserve">space for two or three individuals). In order to </w:t>
      </w:r>
      <w:r w:rsidR="005F50BC" w:rsidRPr="003128DC">
        <w:rPr>
          <w:sz w:val="18"/>
          <w:szCs w:val="18"/>
          <w:lang w:val="en-GB"/>
        </w:rPr>
        <w:t xml:space="preserve">be in </w:t>
      </w:r>
      <w:r w:rsidR="002C2D5C" w:rsidRPr="003128DC">
        <w:rPr>
          <w:sz w:val="18"/>
          <w:szCs w:val="18"/>
          <w:lang w:val="en-GB"/>
        </w:rPr>
        <w:t>conform</w:t>
      </w:r>
      <w:r w:rsidR="005F50BC" w:rsidRPr="003128DC">
        <w:rPr>
          <w:sz w:val="18"/>
          <w:szCs w:val="18"/>
          <w:lang w:val="en-GB"/>
        </w:rPr>
        <w:t>ity</w:t>
      </w:r>
      <w:r w:rsidR="002C2D5C" w:rsidRPr="003128DC">
        <w:rPr>
          <w:sz w:val="18"/>
          <w:szCs w:val="18"/>
          <w:lang w:val="en-GB"/>
        </w:rPr>
        <w:t xml:space="preserve"> with the Government guidance on overcrowding,</w:t>
      </w:r>
      <w:r w:rsidR="002C2D5C" w:rsidRPr="003128DC">
        <w:rPr>
          <w:rStyle w:val="FootnoteReference"/>
          <w:rFonts w:ascii="Arial" w:hAnsi="Arial"/>
          <w:sz w:val="18"/>
          <w:szCs w:val="18"/>
          <w:lang w:val="en-GB"/>
        </w:rPr>
        <w:footnoteReference w:id="29"/>
      </w:r>
      <w:r w:rsidR="002C2D5C" w:rsidRPr="003128DC">
        <w:rPr>
          <w:sz w:val="18"/>
          <w:szCs w:val="18"/>
          <w:lang w:val="en-GB"/>
        </w:rPr>
        <w:t xml:space="preserve"> such a home would require three habitable rooms (a fl</w:t>
      </w:r>
      <w:r w:rsidR="008D6BB7">
        <w:rPr>
          <w:sz w:val="18"/>
          <w:szCs w:val="18"/>
          <w:lang w:val="en-GB"/>
        </w:rPr>
        <w:t>at or house with two bedrooms).</w:t>
      </w:r>
    </w:p>
    <w:p w:rsidR="002C2D5C" w:rsidRPr="008D6BB7" w:rsidRDefault="008D6BB7" w:rsidP="002C2D5C">
      <w:pPr>
        <w:pStyle w:val="ListNumber"/>
        <w:spacing w:before="0"/>
        <w:jc w:val="both"/>
        <w:rPr>
          <w:sz w:val="18"/>
          <w:szCs w:val="18"/>
          <w:lang w:val="en-GB"/>
        </w:rPr>
      </w:pPr>
      <w:r>
        <w:rPr>
          <w:sz w:val="18"/>
          <w:szCs w:val="18"/>
          <w:lang w:val="en-GB"/>
        </w:rPr>
        <w:t>T</w:t>
      </w:r>
      <w:r w:rsidR="002C2D5C" w:rsidRPr="008D6BB7">
        <w:rPr>
          <w:sz w:val="18"/>
          <w:szCs w:val="18"/>
          <w:lang w:val="en-GB"/>
        </w:rPr>
        <w:t xml:space="preserve">he property website </w:t>
      </w:r>
      <w:hyperlink r:id="rId21" w:history="1">
        <w:r w:rsidR="002C2D5C" w:rsidRPr="008D6BB7">
          <w:rPr>
            <w:rStyle w:val="Hyperlink"/>
            <w:sz w:val="18"/>
            <w:szCs w:val="18"/>
            <w:lang w:val="en-GB"/>
          </w:rPr>
          <w:t>Home.co.uk</w:t>
        </w:r>
      </w:hyperlink>
      <w:r w:rsidR="002C2D5C" w:rsidRPr="008D6BB7">
        <w:rPr>
          <w:sz w:val="18"/>
          <w:szCs w:val="18"/>
          <w:lang w:val="en-GB"/>
        </w:rPr>
        <w:t xml:space="preserve"> </w:t>
      </w:r>
      <w:r>
        <w:rPr>
          <w:sz w:val="18"/>
          <w:szCs w:val="18"/>
          <w:lang w:val="en-GB"/>
        </w:rPr>
        <w:t>shows</w:t>
      </w:r>
      <w:r w:rsidR="002C2D5C" w:rsidRPr="008D6BB7">
        <w:rPr>
          <w:sz w:val="18"/>
          <w:szCs w:val="18"/>
          <w:lang w:val="en-GB"/>
        </w:rPr>
        <w:t xml:space="preserve"> rental values for property in </w:t>
      </w:r>
      <w:r w:rsidR="00450792">
        <w:rPr>
          <w:sz w:val="18"/>
          <w:szCs w:val="18"/>
          <w:lang w:val="en-GB"/>
        </w:rPr>
        <w:t xml:space="preserve">the </w:t>
      </w:r>
      <w:r w:rsidR="00E160BD">
        <w:rPr>
          <w:sz w:val="18"/>
          <w:szCs w:val="18"/>
          <w:lang w:val="en-GB"/>
        </w:rPr>
        <w:t>Neighbourhood P</w:t>
      </w:r>
      <w:r w:rsidR="005F50BC" w:rsidRPr="008D6BB7">
        <w:rPr>
          <w:sz w:val="18"/>
          <w:szCs w:val="18"/>
          <w:lang w:val="en-GB"/>
        </w:rPr>
        <w:t>lan area</w:t>
      </w:r>
      <w:r w:rsidR="002C2D5C" w:rsidRPr="008D6BB7">
        <w:rPr>
          <w:sz w:val="18"/>
          <w:szCs w:val="18"/>
          <w:lang w:val="en-GB"/>
        </w:rPr>
        <w:t xml:space="preserve">. The best available data is derived from properties available for rent within the </w:t>
      </w:r>
      <w:r w:rsidR="00204C12">
        <w:rPr>
          <w:sz w:val="18"/>
          <w:szCs w:val="18"/>
          <w:lang w:val="en-GB"/>
        </w:rPr>
        <w:t>NR13</w:t>
      </w:r>
      <w:r w:rsidR="002C2D5C" w:rsidRPr="008D6BB7">
        <w:rPr>
          <w:sz w:val="18"/>
          <w:szCs w:val="18"/>
          <w:lang w:val="en-GB"/>
        </w:rPr>
        <w:t xml:space="preserve"> postcode area, which covers a larger area than </w:t>
      </w:r>
      <w:r w:rsidR="005F50BC" w:rsidRPr="008D6BB7">
        <w:rPr>
          <w:sz w:val="18"/>
          <w:szCs w:val="18"/>
          <w:lang w:val="en-GB"/>
        </w:rPr>
        <w:t>the Plan area</w:t>
      </w:r>
      <w:r>
        <w:rPr>
          <w:sz w:val="18"/>
          <w:szCs w:val="18"/>
          <w:lang w:val="en-GB"/>
        </w:rPr>
        <w:t xml:space="preserve"> itself but can be used as a reasonable proxy for it</w:t>
      </w:r>
      <w:r w:rsidR="002C2D5C" w:rsidRPr="008D6BB7">
        <w:rPr>
          <w:sz w:val="18"/>
          <w:szCs w:val="18"/>
          <w:lang w:val="en-GB"/>
        </w:rPr>
        <w:t xml:space="preserve">. Moreover, </w:t>
      </w:r>
      <w:r>
        <w:rPr>
          <w:sz w:val="18"/>
          <w:szCs w:val="18"/>
          <w:lang w:val="en-GB"/>
        </w:rPr>
        <w:t xml:space="preserve">because </w:t>
      </w:r>
      <w:r w:rsidR="002C2D5C" w:rsidRPr="008D6BB7">
        <w:rPr>
          <w:sz w:val="18"/>
          <w:szCs w:val="18"/>
          <w:lang w:val="en-GB"/>
        </w:rPr>
        <w:t xml:space="preserve">it forms a larger geography with a greater number of </w:t>
      </w:r>
      <w:r>
        <w:rPr>
          <w:sz w:val="18"/>
          <w:szCs w:val="18"/>
          <w:lang w:val="en-GB"/>
        </w:rPr>
        <w:t xml:space="preserve">rental </w:t>
      </w:r>
      <w:r w:rsidR="002C2D5C" w:rsidRPr="008D6BB7">
        <w:rPr>
          <w:sz w:val="18"/>
          <w:szCs w:val="18"/>
          <w:lang w:val="en-GB"/>
        </w:rPr>
        <w:t>properties</w:t>
      </w:r>
      <w:r>
        <w:rPr>
          <w:sz w:val="18"/>
          <w:szCs w:val="18"/>
          <w:lang w:val="en-GB"/>
        </w:rPr>
        <w:t xml:space="preserve"> offered,</w:t>
      </w:r>
      <w:r w:rsidR="002C2D5C" w:rsidRPr="008D6BB7">
        <w:rPr>
          <w:sz w:val="18"/>
          <w:szCs w:val="18"/>
          <w:lang w:val="en-GB"/>
        </w:rPr>
        <w:t xml:space="preserve"> the larger sample size is likely to generate more robust findings. </w:t>
      </w:r>
    </w:p>
    <w:p w:rsidR="002C2D5C" w:rsidRPr="008D6BB7" w:rsidRDefault="008D6BB7" w:rsidP="002C2D5C">
      <w:pPr>
        <w:pStyle w:val="ListNumber"/>
        <w:spacing w:before="0"/>
        <w:jc w:val="both"/>
        <w:rPr>
          <w:sz w:val="18"/>
          <w:szCs w:val="18"/>
          <w:lang w:val="en-GB"/>
        </w:rPr>
      </w:pPr>
      <w:r>
        <w:rPr>
          <w:sz w:val="18"/>
          <w:szCs w:val="18"/>
          <w:lang w:val="en-GB"/>
        </w:rPr>
        <w:t xml:space="preserve">According to </w:t>
      </w:r>
      <w:hyperlink r:id="rId22" w:history="1">
        <w:r w:rsidRPr="00180999">
          <w:rPr>
            <w:rStyle w:val="Hyperlink"/>
            <w:sz w:val="18"/>
            <w:szCs w:val="18"/>
            <w:lang w:val="en-GB"/>
          </w:rPr>
          <w:t>home.co.uk</w:t>
        </w:r>
      </w:hyperlink>
      <w:r>
        <w:rPr>
          <w:sz w:val="18"/>
          <w:szCs w:val="18"/>
          <w:lang w:val="en-GB"/>
        </w:rPr>
        <w:t xml:space="preserve">, </w:t>
      </w:r>
      <w:r w:rsidR="002C2D5C" w:rsidRPr="008D6BB7">
        <w:rPr>
          <w:sz w:val="18"/>
          <w:szCs w:val="18"/>
          <w:lang w:val="en-GB"/>
        </w:rPr>
        <w:t xml:space="preserve">there are </w:t>
      </w:r>
      <w:r w:rsidR="00F9509B">
        <w:rPr>
          <w:sz w:val="18"/>
          <w:szCs w:val="18"/>
          <w:lang w:val="en-GB"/>
        </w:rPr>
        <w:t>3</w:t>
      </w:r>
      <w:r w:rsidR="002C2D5C" w:rsidRPr="008D6BB7">
        <w:rPr>
          <w:sz w:val="18"/>
          <w:szCs w:val="18"/>
          <w:lang w:val="en-GB"/>
        </w:rPr>
        <w:t xml:space="preserve"> two-bed propert</w:t>
      </w:r>
      <w:r>
        <w:rPr>
          <w:sz w:val="18"/>
          <w:szCs w:val="18"/>
          <w:lang w:val="en-GB"/>
        </w:rPr>
        <w:t>ies currently listed for rent across</w:t>
      </w:r>
      <w:r w:rsidR="002C2D5C" w:rsidRPr="008D6BB7">
        <w:rPr>
          <w:sz w:val="18"/>
          <w:szCs w:val="18"/>
          <w:lang w:val="en-GB"/>
        </w:rPr>
        <w:t xml:space="preserve"> </w:t>
      </w:r>
      <w:r w:rsidR="00E073DB">
        <w:rPr>
          <w:sz w:val="18"/>
          <w:szCs w:val="18"/>
          <w:lang w:val="en-GB"/>
        </w:rPr>
        <w:t>NR13</w:t>
      </w:r>
      <w:r>
        <w:rPr>
          <w:sz w:val="18"/>
          <w:szCs w:val="18"/>
          <w:lang w:val="en-GB"/>
        </w:rPr>
        <w:t>,</w:t>
      </w:r>
      <w:r w:rsidR="002C2D5C" w:rsidRPr="008D6BB7">
        <w:rPr>
          <w:sz w:val="18"/>
          <w:szCs w:val="18"/>
          <w:lang w:val="en-GB"/>
        </w:rPr>
        <w:t xml:space="preserve"> with an average price of </w:t>
      </w:r>
      <w:r w:rsidR="00F9509B">
        <w:rPr>
          <w:sz w:val="18"/>
          <w:szCs w:val="18"/>
          <w:lang w:val="en-GB"/>
        </w:rPr>
        <w:t xml:space="preserve">£624.33 </w:t>
      </w:r>
      <w:r w:rsidR="002C2D5C" w:rsidRPr="008D6BB7">
        <w:rPr>
          <w:sz w:val="18"/>
          <w:szCs w:val="18"/>
          <w:lang w:val="en-GB"/>
        </w:rPr>
        <w:t xml:space="preserve">per </w:t>
      </w:r>
      <w:r>
        <w:rPr>
          <w:sz w:val="18"/>
          <w:szCs w:val="18"/>
          <w:lang w:val="en-GB"/>
        </w:rPr>
        <w:t xml:space="preserve">calendar </w:t>
      </w:r>
      <w:r w:rsidR="002C2D5C" w:rsidRPr="008D6BB7">
        <w:rPr>
          <w:sz w:val="18"/>
          <w:szCs w:val="18"/>
          <w:lang w:val="en-GB"/>
        </w:rPr>
        <w:t>month.</w:t>
      </w:r>
    </w:p>
    <w:p w:rsidR="002C2D5C" w:rsidRPr="008D6BB7" w:rsidRDefault="002C2D5C" w:rsidP="002C2D5C">
      <w:pPr>
        <w:pStyle w:val="ListNumber"/>
        <w:spacing w:before="0"/>
        <w:jc w:val="both"/>
        <w:rPr>
          <w:sz w:val="18"/>
          <w:szCs w:val="18"/>
          <w:lang w:val="en-GB"/>
        </w:rPr>
      </w:pPr>
      <w:r w:rsidRPr="008D6BB7">
        <w:rPr>
          <w:sz w:val="18"/>
          <w:szCs w:val="18"/>
          <w:lang w:val="en-GB"/>
        </w:rPr>
        <w:t>It is possible to derive from this data the es</w:t>
      </w:r>
      <w:r w:rsidR="008D6BB7">
        <w:rPr>
          <w:sz w:val="18"/>
          <w:szCs w:val="18"/>
          <w:lang w:val="en-GB"/>
        </w:rPr>
        <w:t>timated income threshold for private rental sector</w:t>
      </w:r>
      <w:r w:rsidRPr="008D6BB7">
        <w:rPr>
          <w:sz w:val="18"/>
          <w:szCs w:val="18"/>
          <w:lang w:val="en-GB"/>
        </w:rPr>
        <w:t xml:space="preserve"> dwellings in </w:t>
      </w:r>
      <w:r w:rsidR="005F50BC" w:rsidRPr="008D6BB7">
        <w:rPr>
          <w:sz w:val="18"/>
          <w:szCs w:val="18"/>
          <w:lang w:val="en-GB"/>
        </w:rPr>
        <w:t xml:space="preserve">the </w:t>
      </w:r>
      <w:r w:rsidR="00E160BD">
        <w:rPr>
          <w:sz w:val="18"/>
          <w:szCs w:val="18"/>
          <w:lang w:val="en-GB"/>
        </w:rPr>
        <w:t>Neighbourhood</w:t>
      </w:r>
      <w:r w:rsidR="00E160BD" w:rsidRPr="008D6BB7">
        <w:rPr>
          <w:sz w:val="18"/>
          <w:szCs w:val="18"/>
          <w:lang w:val="en-GB"/>
        </w:rPr>
        <w:t xml:space="preserve"> </w:t>
      </w:r>
      <w:r w:rsidR="005F50BC" w:rsidRPr="008D6BB7">
        <w:rPr>
          <w:sz w:val="18"/>
          <w:szCs w:val="18"/>
          <w:lang w:val="en-GB"/>
        </w:rPr>
        <w:t>Plan area</w:t>
      </w:r>
      <w:r w:rsidRPr="008D6BB7">
        <w:rPr>
          <w:sz w:val="18"/>
          <w:szCs w:val="18"/>
          <w:lang w:val="en-GB"/>
        </w:rPr>
        <w:t>; the calculation is therefore</w:t>
      </w:r>
      <w:r w:rsidR="008D6BB7">
        <w:rPr>
          <w:sz w:val="18"/>
          <w:szCs w:val="18"/>
          <w:lang w:val="en-GB"/>
        </w:rPr>
        <w:t>:</w:t>
      </w:r>
    </w:p>
    <w:p w:rsidR="002C2D5C" w:rsidRPr="008D6BB7" w:rsidRDefault="002C2D5C" w:rsidP="002C2D5C">
      <w:pPr>
        <w:pStyle w:val="ListBullet"/>
        <w:spacing w:before="0" w:line="240" w:lineRule="atLeast"/>
        <w:jc w:val="both"/>
        <w:rPr>
          <w:sz w:val="18"/>
          <w:szCs w:val="18"/>
        </w:rPr>
      </w:pPr>
      <w:r w:rsidRPr="008D6BB7">
        <w:rPr>
          <w:sz w:val="18"/>
          <w:szCs w:val="18"/>
        </w:rPr>
        <w:t xml:space="preserve">Annual rent = </w:t>
      </w:r>
      <w:r w:rsidR="008D6BB7">
        <w:rPr>
          <w:sz w:val="18"/>
          <w:szCs w:val="18"/>
        </w:rPr>
        <w:t>£</w:t>
      </w:r>
      <w:r w:rsidR="00915BAF">
        <w:rPr>
          <w:sz w:val="18"/>
          <w:szCs w:val="18"/>
        </w:rPr>
        <w:t>624.33</w:t>
      </w:r>
      <w:r w:rsidRPr="008D6BB7">
        <w:rPr>
          <w:sz w:val="18"/>
          <w:szCs w:val="18"/>
        </w:rPr>
        <w:t xml:space="preserve"> x 12 = </w:t>
      </w:r>
      <w:r w:rsidR="008D6BB7">
        <w:rPr>
          <w:sz w:val="18"/>
          <w:szCs w:val="18"/>
        </w:rPr>
        <w:t>£</w:t>
      </w:r>
      <w:r w:rsidR="00915BAF">
        <w:rPr>
          <w:sz w:val="18"/>
          <w:szCs w:val="18"/>
        </w:rPr>
        <w:t>7,492</w:t>
      </w:r>
      <w:r w:rsidR="008D6BB7">
        <w:rPr>
          <w:sz w:val="18"/>
          <w:szCs w:val="18"/>
        </w:rPr>
        <w:t>;</w:t>
      </w:r>
    </w:p>
    <w:p w:rsidR="002C2D5C" w:rsidRPr="008D6BB7" w:rsidRDefault="002C2D5C" w:rsidP="002C2D5C">
      <w:pPr>
        <w:pStyle w:val="ListBullet"/>
        <w:spacing w:before="0" w:line="240" w:lineRule="atLeast"/>
        <w:jc w:val="both"/>
        <w:rPr>
          <w:sz w:val="18"/>
          <w:szCs w:val="18"/>
        </w:rPr>
      </w:pPr>
      <w:r w:rsidRPr="008D6BB7">
        <w:rPr>
          <w:sz w:val="18"/>
          <w:szCs w:val="18"/>
        </w:rPr>
        <w:lastRenderedPageBreak/>
        <w:t xml:space="preserve">Multiplied by 4 </w:t>
      </w:r>
      <w:r w:rsidR="00BC5A06">
        <w:rPr>
          <w:sz w:val="18"/>
          <w:szCs w:val="18"/>
        </w:rPr>
        <w:t xml:space="preserve">(so that no more than 25% of income is spent on rent) </w:t>
      </w:r>
      <w:r w:rsidRPr="008D6BB7">
        <w:rPr>
          <w:sz w:val="18"/>
          <w:szCs w:val="18"/>
        </w:rPr>
        <w:t xml:space="preserve">= </w:t>
      </w:r>
      <w:r w:rsidR="008D6BB7">
        <w:rPr>
          <w:sz w:val="18"/>
          <w:szCs w:val="18"/>
        </w:rPr>
        <w:t>£</w:t>
      </w:r>
      <w:r w:rsidR="00915BAF">
        <w:rPr>
          <w:sz w:val="18"/>
          <w:szCs w:val="18"/>
        </w:rPr>
        <w:t>29,968</w:t>
      </w:r>
      <w:r w:rsidR="008D6BB7">
        <w:rPr>
          <w:sz w:val="18"/>
          <w:szCs w:val="18"/>
        </w:rPr>
        <w:t>;</w:t>
      </w:r>
    </w:p>
    <w:p w:rsidR="002C2D5C" w:rsidRPr="008D6BB7" w:rsidRDefault="002C2D5C" w:rsidP="002C2D5C">
      <w:pPr>
        <w:pStyle w:val="ListBullet"/>
        <w:spacing w:before="0" w:line="240" w:lineRule="atLeast"/>
        <w:jc w:val="both"/>
        <w:rPr>
          <w:b/>
          <w:sz w:val="18"/>
          <w:szCs w:val="18"/>
        </w:rPr>
      </w:pPr>
      <w:r w:rsidRPr="008D6BB7">
        <w:rPr>
          <w:b/>
          <w:sz w:val="18"/>
          <w:szCs w:val="18"/>
        </w:rPr>
        <w:t>Income t</w:t>
      </w:r>
      <w:r w:rsidR="008D6BB7">
        <w:rPr>
          <w:b/>
          <w:sz w:val="18"/>
          <w:szCs w:val="18"/>
        </w:rPr>
        <w:t>hreshold (private rental sector</w:t>
      </w:r>
      <w:r w:rsidRPr="008D6BB7">
        <w:rPr>
          <w:b/>
          <w:sz w:val="18"/>
          <w:szCs w:val="18"/>
        </w:rPr>
        <w:t xml:space="preserve">) = </w:t>
      </w:r>
      <w:r w:rsidR="008D6BB7">
        <w:rPr>
          <w:b/>
          <w:sz w:val="18"/>
          <w:szCs w:val="18"/>
        </w:rPr>
        <w:t>£</w:t>
      </w:r>
      <w:r w:rsidR="009F1A3D">
        <w:rPr>
          <w:b/>
          <w:sz w:val="18"/>
          <w:szCs w:val="18"/>
        </w:rPr>
        <w:t>32,800</w:t>
      </w:r>
      <w:r w:rsidR="008D6BB7">
        <w:rPr>
          <w:b/>
          <w:sz w:val="18"/>
          <w:szCs w:val="18"/>
        </w:rPr>
        <w:t>.</w:t>
      </w:r>
    </w:p>
    <w:p w:rsidR="002C2D5C" w:rsidRPr="008D6BB7" w:rsidRDefault="008D6BB7" w:rsidP="002C2D5C">
      <w:pPr>
        <w:pStyle w:val="ListNumber"/>
        <w:spacing w:before="0"/>
        <w:jc w:val="both"/>
        <w:rPr>
          <w:sz w:val="18"/>
          <w:szCs w:val="18"/>
          <w:lang w:val="en-GB"/>
        </w:rPr>
      </w:pPr>
      <w:r>
        <w:rPr>
          <w:sz w:val="18"/>
          <w:szCs w:val="18"/>
          <w:lang w:val="en-GB"/>
        </w:rPr>
        <w:t xml:space="preserve">The </w:t>
      </w:r>
      <w:r w:rsidR="002C2D5C" w:rsidRPr="008D6BB7">
        <w:rPr>
          <w:sz w:val="18"/>
          <w:szCs w:val="18"/>
          <w:lang w:val="en-GB"/>
        </w:rPr>
        <w:t xml:space="preserve">NPPF </w:t>
      </w:r>
      <w:r>
        <w:rPr>
          <w:sz w:val="18"/>
          <w:szCs w:val="18"/>
          <w:lang w:val="en-GB"/>
        </w:rPr>
        <w:t xml:space="preserve">2018 </w:t>
      </w:r>
      <w:r w:rsidR="002C2D5C" w:rsidRPr="008D6BB7">
        <w:rPr>
          <w:sz w:val="18"/>
          <w:szCs w:val="18"/>
          <w:lang w:val="en-GB"/>
        </w:rPr>
        <w:t>acknowledges that b</w:t>
      </w:r>
      <w:r>
        <w:rPr>
          <w:sz w:val="18"/>
          <w:szCs w:val="18"/>
          <w:lang w:val="en-GB"/>
        </w:rPr>
        <w:t>uild-to-</w:t>
      </w:r>
      <w:r w:rsidR="002C2D5C" w:rsidRPr="008D6BB7">
        <w:rPr>
          <w:sz w:val="18"/>
          <w:szCs w:val="18"/>
          <w:lang w:val="en-GB"/>
        </w:rPr>
        <w:t>rent dwellings have a role to play in providing affordable marke</w:t>
      </w:r>
      <w:r>
        <w:rPr>
          <w:sz w:val="18"/>
          <w:szCs w:val="18"/>
          <w:lang w:val="en-GB"/>
        </w:rPr>
        <w:t>t homes and may meet affordable housing</w:t>
      </w:r>
      <w:r w:rsidR="002C2D5C" w:rsidRPr="008D6BB7">
        <w:rPr>
          <w:sz w:val="18"/>
          <w:szCs w:val="18"/>
          <w:lang w:val="en-GB"/>
        </w:rPr>
        <w:t xml:space="preserve"> need where they include a component of affordable private r</w:t>
      </w:r>
      <w:r>
        <w:rPr>
          <w:sz w:val="18"/>
          <w:szCs w:val="18"/>
          <w:lang w:val="en-GB"/>
        </w:rPr>
        <w:t>ent.</w:t>
      </w:r>
    </w:p>
    <w:p w:rsidR="002C2D5C" w:rsidRPr="00611D7D" w:rsidRDefault="002C2D5C" w:rsidP="002C2D5C">
      <w:pPr>
        <w:pStyle w:val="Appendixheading2"/>
        <w:jc w:val="both"/>
      </w:pPr>
      <w:bookmarkStart w:id="165" w:name="_Toc521492005"/>
      <w:bookmarkStart w:id="166" w:name="_Toc536797460"/>
      <w:bookmarkStart w:id="167" w:name="_Toc2690295"/>
      <w:bookmarkStart w:id="168" w:name="_Toc33015880"/>
      <w:r w:rsidRPr="00611D7D">
        <w:t>Affordable Housing</w:t>
      </w:r>
      <w:bookmarkEnd w:id="165"/>
      <w:bookmarkEnd w:id="166"/>
      <w:bookmarkEnd w:id="167"/>
      <w:bookmarkEnd w:id="168"/>
    </w:p>
    <w:p w:rsidR="002C2D5C" w:rsidRPr="008D6BB7" w:rsidRDefault="003135BC" w:rsidP="002C2D5C">
      <w:pPr>
        <w:pStyle w:val="ListNumber"/>
        <w:spacing w:before="0"/>
        <w:jc w:val="both"/>
        <w:rPr>
          <w:sz w:val="18"/>
          <w:szCs w:val="18"/>
          <w:lang w:val="en-GB"/>
        </w:rPr>
      </w:pPr>
      <w:r>
        <w:rPr>
          <w:sz w:val="18"/>
          <w:szCs w:val="18"/>
          <w:lang w:val="en-GB"/>
        </w:rPr>
        <w:t xml:space="preserve">There are a range of tenures that constitute the </w:t>
      </w:r>
      <w:r w:rsidR="002C2D5C" w:rsidRPr="008D6BB7">
        <w:rPr>
          <w:sz w:val="18"/>
          <w:szCs w:val="18"/>
          <w:lang w:val="en-GB"/>
        </w:rPr>
        <w:t>defini</w:t>
      </w:r>
      <w:r>
        <w:rPr>
          <w:sz w:val="18"/>
          <w:szCs w:val="18"/>
          <w:lang w:val="en-GB"/>
        </w:rPr>
        <w:t xml:space="preserve">tion of Affordable Housing </w:t>
      </w:r>
      <w:r w:rsidR="002C2D5C" w:rsidRPr="008D6BB7">
        <w:rPr>
          <w:sz w:val="18"/>
          <w:szCs w:val="18"/>
          <w:lang w:val="en-GB"/>
        </w:rPr>
        <w:t xml:space="preserve">within the </w:t>
      </w:r>
      <w:r>
        <w:rPr>
          <w:sz w:val="18"/>
          <w:szCs w:val="18"/>
          <w:lang w:val="en-GB"/>
        </w:rPr>
        <w:t>2018 NPPF</w:t>
      </w:r>
      <w:r w:rsidR="002C2D5C" w:rsidRPr="008D6BB7">
        <w:rPr>
          <w:sz w:val="18"/>
          <w:szCs w:val="18"/>
          <w:lang w:val="en-GB"/>
        </w:rPr>
        <w:t xml:space="preserve">: social rent and affordable rent, discounted market sales housing, and other affordable routes to home ownership. </w:t>
      </w:r>
    </w:p>
    <w:p w:rsidR="002C2D5C" w:rsidRPr="008D6BB7" w:rsidRDefault="003135BC" w:rsidP="002C2D5C">
      <w:pPr>
        <w:pStyle w:val="ListNumber"/>
        <w:spacing w:before="0"/>
        <w:jc w:val="both"/>
        <w:rPr>
          <w:sz w:val="18"/>
          <w:szCs w:val="18"/>
          <w:lang w:val="en-GB"/>
        </w:rPr>
      </w:pPr>
      <w:r>
        <w:rPr>
          <w:sz w:val="18"/>
          <w:szCs w:val="18"/>
          <w:lang w:val="en-GB"/>
        </w:rPr>
        <w:t xml:space="preserve">This variety of </w:t>
      </w:r>
      <w:r w:rsidR="002C2D5C" w:rsidRPr="008D6BB7">
        <w:rPr>
          <w:sz w:val="18"/>
          <w:szCs w:val="18"/>
          <w:lang w:val="en-GB"/>
        </w:rPr>
        <w:t>tenures reflects an ambition by the Government to provide a pathway to home ownership</w:t>
      </w:r>
      <w:r w:rsidR="00BC0F21">
        <w:rPr>
          <w:sz w:val="18"/>
          <w:szCs w:val="18"/>
          <w:lang w:val="en-GB"/>
        </w:rPr>
        <w:t xml:space="preserve"> for more </w:t>
      </w:r>
      <w:r w:rsidR="002B4670">
        <w:rPr>
          <w:sz w:val="18"/>
          <w:szCs w:val="18"/>
          <w:lang w:val="en-GB"/>
        </w:rPr>
        <w:t>households</w:t>
      </w:r>
      <w:r w:rsidR="002C2D5C" w:rsidRPr="008D6BB7">
        <w:rPr>
          <w:sz w:val="18"/>
          <w:szCs w:val="18"/>
          <w:lang w:val="en-GB"/>
        </w:rPr>
        <w:t>, as well as introducing market principles into the provision of subsidised housing f</w:t>
      </w:r>
      <w:r w:rsidR="00BC0F21">
        <w:rPr>
          <w:sz w:val="18"/>
          <w:szCs w:val="18"/>
          <w:lang w:val="en-GB"/>
        </w:rPr>
        <w:t>or rent. The aim is to divide affordable housing</w:t>
      </w:r>
      <w:r w:rsidR="002C2D5C" w:rsidRPr="008D6BB7">
        <w:rPr>
          <w:sz w:val="18"/>
          <w:szCs w:val="18"/>
          <w:lang w:val="en-GB"/>
        </w:rPr>
        <w:t xml:space="preserve"> into a series of products designed to appeal to different sectors of the market and, by changing eligibility criteria, bring rents closer in line with people’s ability to pay.</w:t>
      </w:r>
    </w:p>
    <w:p w:rsidR="002C2D5C" w:rsidRPr="008D6BB7" w:rsidRDefault="00BC0F21" w:rsidP="002C2D5C">
      <w:pPr>
        <w:pStyle w:val="ListNumber"/>
        <w:spacing w:before="0"/>
        <w:jc w:val="both"/>
        <w:rPr>
          <w:sz w:val="18"/>
          <w:szCs w:val="18"/>
          <w:lang w:val="en-GB"/>
        </w:rPr>
      </w:pPr>
      <w:r>
        <w:rPr>
          <w:sz w:val="18"/>
          <w:szCs w:val="18"/>
          <w:lang w:val="en-GB"/>
        </w:rPr>
        <w:t>We consider each of the affordable housing</w:t>
      </w:r>
      <w:r w:rsidR="002C2D5C" w:rsidRPr="008D6BB7">
        <w:rPr>
          <w:sz w:val="18"/>
          <w:szCs w:val="18"/>
          <w:lang w:val="en-GB"/>
        </w:rPr>
        <w:t xml:space="preserve"> tenures in turn.</w:t>
      </w:r>
    </w:p>
    <w:p w:rsidR="002C2D5C" w:rsidRPr="007D1CEB" w:rsidRDefault="002C2D5C" w:rsidP="002C2D5C">
      <w:pPr>
        <w:pStyle w:val="Appendixheading2"/>
        <w:keepNext w:val="0"/>
        <w:keepLines w:val="0"/>
        <w:widowControl w:val="0"/>
        <w:numPr>
          <w:ilvl w:val="2"/>
          <w:numId w:val="21"/>
        </w:numPr>
        <w:jc w:val="both"/>
      </w:pPr>
      <w:bookmarkStart w:id="169" w:name="_Toc2690296"/>
      <w:bookmarkStart w:id="170" w:name="_Toc33015881"/>
      <w:r w:rsidRPr="007D1CEB">
        <w:t xml:space="preserve">Social </w:t>
      </w:r>
      <w:r>
        <w:t>r</w:t>
      </w:r>
      <w:r w:rsidRPr="007D1CEB">
        <w:t>ent</w:t>
      </w:r>
      <w:bookmarkEnd w:id="169"/>
      <w:bookmarkEnd w:id="170"/>
    </w:p>
    <w:p w:rsidR="002C2D5C" w:rsidRPr="008D6BB7" w:rsidRDefault="002C2D5C" w:rsidP="002C2D5C">
      <w:pPr>
        <w:pStyle w:val="ListNumber"/>
        <w:spacing w:before="0"/>
        <w:jc w:val="both"/>
        <w:rPr>
          <w:sz w:val="18"/>
          <w:szCs w:val="18"/>
          <w:lang w:val="en-GB"/>
        </w:rPr>
      </w:pPr>
      <w:r w:rsidRPr="008D6BB7">
        <w:rPr>
          <w:sz w:val="18"/>
          <w:szCs w:val="18"/>
          <w:lang w:val="en-GB"/>
        </w:rPr>
        <w:t xml:space="preserve">Rents in socially rented properties reflect a ‘formula rent’ based on a combination of individual property values and average earnings in each area, </w:t>
      </w:r>
      <w:r w:rsidR="00401071">
        <w:rPr>
          <w:sz w:val="18"/>
          <w:szCs w:val="18"/>
          <w:lang w:val="en-GB"/>
        </w:rPr>
        <w:t>resulting in</w:t>
      </w:r>
      <w:r w:rsidRPr="008D6BB7">
        <w:rPr>
          <w:sz w:val="18"/>
          <w:szCs w:val="18"/>
          <w:lang w:val="en-GB"/>
        </w:rPr>
        <w:t xml:space="preserve"> substantial discou</w:t>
      </w:r>
      <w:r w:rsidR="00401071">
        <w:rPr>
          <w:sz w:val="18"/>
          <w:szCs w:val="18"/>
          <w:lang w:val="en-GB"/>
        </w:rPr>
        <w:t>nts to market rents. As such, this tenure</w:t>
      </w:r>
      <w:r w:rsidRPr="008D6BB7">
        <w:rPr>
          <w:sz w:val="18"/>
          <w:szCs w:val="18"/>
          <w:lang w:val="en-GB"/>
        </w:rPr>
        <w:t xml:space="preserve"> is suitable for the needs of those on low incomes and is subject to strict eligibility criteria. </w:t>
      </w:r>
    </w:p>
    <w:p w:rsidR="002C2D5C" w:rsidRDefault="002C2D5C" w:rsidP="002C2D5C">
      <w:pPr>
        <w:pStyle w:val="ListNumber"/>
        <w:spacing w:before="0"/>
        <w:jc w:val="both"/>
        <w:rPr>
          <w:color w:val="000000" w:themeColor="text1"/>
          <w:sz w:val="18"/>
          <w:szCs w:val="18"/>
          <w:lang w:val="en-GB"/>
        </w:rPr>
      </w:pPr>
      <w:r w:rsidRPr="008D6BB7">
        <w:rPr>
          <w:color w:val="000000" w:themeColor="text1"/>
          <w:sz w:val="18"/>
          <w:szCs w:val="18"/>
          <w:lang w:val="en-GB"/>
        </w:rPr>
        <w:t>To determine social rent levels, data and statistical r</w:t>
      </w:r>
      <w:r w:rsidR="00705EE4">
        <w:rPr>
          <w:color w:val="000000" w:themeColor="text1"/>
          <w:sz w:val="18"/>
          <w:szCs w:val="18"/>
          <w:lang w:val="en-GB"/>
        </w:rPr>
        <w:t>eturn from Homes England</w:t>
      </w:r>
      <w:r w:rsidR="002B4670">
        <w:rPr>
          <w:color w:val="000000" w:themeColor="text1"/>
          <w:sz w:val="18"/>
          <w:szCs w:val="18"/>
          <w:lang w:val="en-GB"/>
        </w:rPr>
        <w:t xml:space="preserve"> is used</w:t>
      </w:r>
      <w:r w:rsidRPr="008D6BB7">
        <w:rPr>
          <w:color w:val="000000" w:themeColor="text1"/>
          <w:sz w:val="18"/>
          <w:szCs w:val="18"/>
          <w:lang w:val="en-GB"/>
        </w:rPr>
        <w:t>. This data is only available at the LPA leve</w:t>
      </w:r>
      <w:r w:rsidR="00705EE4">
        <w:rPr>
          <w:color w:val="000000" w:themeColor="text1"/>
          <w:sz w:val="18"/>
          <w:szCs w:val="18"/>
          <w:lang w:val="en-GB"/>
        </w:rPr>
        <w:t xml:space="preserve">l so must act as a </w:t>
      </w:r>
      <w:r w:rsidRPr="008D6BB7">
        <w:rPr>
          <w:color w:val="000000" w:themeColor="text1"/>
          <w:sz w:val="18"/>
          <w:szCs w:val="18"/>
          <w:lang w:val="en-GB"/>
        </w:rPr>
        <w:t xml:space="preserve">proxy for </w:t>
      </w:r>
      <w:r w:rsidR="006E4396">
        <w:rPr>
          <w:color w:val="000000" w:themeColor="text1"/>
          <w:sz w:val="18"/>
          <w:szCs w:val="18"/>
          <w:lang w:val="en-GB"/>
        </w:rPr>
        <w:t>Reedham</w:t>
      </w:r>
      <w:r w:rsidR="00705EE4">
        <w:rPr>
          <w:color w:val="000000" w:themeColor="text1"/>
          <w:sz w:val="18"/>
          <w:szCs w:val="18"/>
          <w:lang w:val="en-GB"/>
        </w:rPr>
        <w:t>.</w:t>
      </w:r>
      <w:r w:rsidRPr="008D6BB7">
        <w:rPr>
          <w:color w:val="000000" w:themeColor="text1"/>
          <w:sz w:val="18"/>
          <w:szCs w:val="18"/>
          <w:lang w:val="en-GB"/>
        </w:rPr>
        <w:t xml:space="preserve"> This data provides information about rents and the size and type of stock owned and managed by private registered providers and is presented </w:t>
      </w:r>
      <w:r w:rsidR="00705EE4">
        <w:rPr>
          <w:color w:val="000000" w:themeColor="text1"/>
          <w:sz w:val="18"/>
          <w:szCs w:val="18"/>
          <w:lang w:val="en-GB"/>
        </w:rPr>
        <w:t xml:space="preserve">for </w:t>
      </w:r>
      <w:r w:rsidR="006E4396">
        <w:rPr>
          <w:color w:val="000000" w:themeColor="text1"/>
          <w:sz w:val="18"/>
          <w:szCs w:val="18"/>
          <w:lang w:val="en-GB"/>
        </w:rPr>
        <w:t>Broadland</w:t>
      </w:r>
      <w:r w:rsidR="00705EE4">
        <w:rPr>
          <w:color w:val="000000" w:themeColor="text1"/>
          <w:sz w:val="18"/>
          <w:szCs w:val="18"/>
          <w:lang w:val="en-GB"/>
        </w:rPr>
        <w:t xml:space="preserve"> </w:t>
      </w:r>
      <w:r w:rsidRPr="008D6BB7">
        <w:rPr>
          <w:color w:val="000000" w:themeColor="text1"/>
          <w:sz w:val="18"/>
          <w:szCs w:val="18"/>
          <w:lang w:val="en-GB"/>
        </w:rPr>
        <w:t xml:space="preserve">in the table below. </w:t>
      </w:r>
      <w:bookmarkStart w:id="171" w:name="_Ref516840448"/>
    </w:p>
    <w:p w:rsidR="00637491" w:rsidRPr="00637491" w:rsidRDefault="00637491" w:rsidP="00C4563D">
      <w:pPr>
        <w:pStyle w:val="ListNumber"/>
        <w:spacing w:before="0"/>
        <w:jc w:val="both"/>
        <w:rPr>
          <w:color w:val="000000" w:themeColor="text1"/>
          <w:sz w:val="18"/>
          <w:szCs w:val="18"/>
          <w:lang w:val="en-GB"/>
        </w:rPr>
      </w:pPr>
      <w:r w:rsidRPr="00637491">
        <w:rPr>
          <w:color w:val="000000" w:themeColor="text1"/>
          <w:sz w:val="18"/>
          <w:szCs w:val="18"/>
          <w:lang w:val="en-GB"/>
        </w:rPr>
        <w:t xml:space="preserve">To determine the income needed, </w:t>
      </w:r>
      <w:r w:rsidR="002B4670">
        <w:rPr>
          <w:color w:val="000000" w:themeColor="text1"/>
          <w:sz w:val="18"/>
          <w:szCs w:val="18"/>
          <w:lang w:val="en-GB"/>
        </w:rPr>
        <w:t>it is</w:t>
      </w:r>
      <w:r w:rsidRPr="00637491">
        <w:rPr>
          <w:color w:val="000000" w:themeColor="text1"/>
          <w:sz w:val="18"/>
          <w:szCs w:val="18"/>
          <w:lang w:val="en-GB"/>
        </w:rPr>
        <w:t xml:space="preserve"> assum</w:t>
      </w:r>
      <w:r w:rsidR="002B4670">
        <w:rPr>
          <w:color w:val="000000" w:themeColor="text1"/>
          <w:sz w:val="18"/>
          <w:szCs w:val="18"/>
          <w:lang w:val="en-GB"/>
        </w:rPr>
        <w:t>ed</w:t>
      </w:r>
      <w:r w:rsidRPr="00637491">
        <w:rPr>
          <w:color w:val="000000" w:themeColor="text1"/>
          <w:sz w:val="18"/>
          <w:szCs w:val="18"/>
          <w:lang w:val="en-GB"/>
        </w:rPr>
        <w:t xml:space="preserve"> that no more than 25% of income should be spent on rent.</w:t>
      </w:r>
    </w:p>
    <w:bookmarkEnd w:id="171"/>
    <w:p w:rsidR="002C2D5C" w:rsidRPr="008D6BB7" w:rsidRDefault="002C2D5C" w:rsidP="002C2D5C">
      <w:pPr>
        <w:pStyle w:val="Caption"/>
        <w:jc w:val="both"/>
        <w:rPr>
          <w:sz w:val="18"/>
          <w:szCs w:val="18"/>
        </w:rPr>
      </w:pPr>
      <w:r w:rsidRPr="008D6BB7">
        <w:rPr>
          <w:sz w:val="18"/>
          <w:szCs w:val="18"/>
        </w:rPr>
        <w:t>Table A-1: Social rent levels (£)</w:t>
      </w:r>
    </w:p>
    <w:tbl>
      <w:tblPr>
        <w:tblW w:w="4791" w:type="pct"/>
        <w:tblInd w:w="421" w:type="dxa"/>
        <w:tblLayout w:type="fixed"/>
        <w:tblLook w:val="04A0"/>
      </w:tblPr>
      <w:tblGrid>
        <w:gridCol w:w="2243"/>
        <w:gridCol w:w="1479"/>
        <w:gridCol w:w="1477"/>
        <w:gridCol w:w="1477"/>
        <w:gridCol w:w="1477"/>
        <w:gridCol w:w="1477"/>
      </w:tblGrid>
      <w:tr w:rsidR="002C2D5C" w:rsidRPr="008D6BB7" w:rsidTr="00C378B2">
        <w:trPr>
          <w:trHeight w:val="300"/>
        </w:trPr>
        <w:tc>
          <w:tcPr>
            <w:tcW w:w="1164" w:type="pct"/>
            <w:tcBorders>
              <w:top w:val="single" w:sz="4" w:space="0" w:color="auto"/>
              <w:left w:val="single" w:sz="4" w:space="0" w:color="auto"/>
              <w:bottom w:val="single" w:sz="4" w:space="0" w:color="auto"/>
              <w:right w:val="single" w:sz="4" w:space="0" w:color="auto"/>
            </w:tcBorders>
            <w:shd w:val="clear" w:color="auto" w:fill="000000" w:themeFill="text1"/>
            <w:noWrap/>
            <w:vAlign w:val="center"/>
            <w:hideMark/>
          </w:tcPr>
          <w:p w:rsidR="002C2D5C" w:rsidRPr="008D6BB7" w:rsidRDefault="002C2D5C" w:rsidP="00C378B2">
            <w:pPr>
              <w:spacing w:line="240" w:lineRule="auto"/>
              <w:jc w:val="both"/>
              <w:rPr>
                <w:b/>
                <w:color w:val="FFFFFF" w:themeColor="background1"/>
                <w:sz w:val="18"/>
                <w:szCs w:val="18"/>
              </w:rPr>
            </w:pPr>
            <w:r w:rsidRPr="008D6BB7">
              <w:rPr>
                <w:b/>
                <w:color w:val="FFFFFF" w:themeColor="background1"/>
                <w:sz w:val="18"/>
                <w:szCs w:val="18"/>
              </w:rPr>
              <w:t>Size</w:t>
            </w:r>
          </w:p>
        </w:tc>
        <w:tc>
          <w:tcPr>
            <w:tcW w:w="768" w:type="pct"/>
            <w:tcBorders>
              <w:top w:val="single" w:sz="4" w:space="0" w:color="auto"/>
              <w:left w:val="nil"/>
              <w:bottom w:val="single" w:sz="4" w:space="0" w:color="auto"/>
              <w:right w:val="single" w:sz="4" w:space="0" w:color="auto"/>
            </w:tcBorders>
            <w:shd w:val="clear" w:color="auto" w:fill="000000" w:themeFill="text1"/>
            <w:noWrap/>
            <w:vAlign w:val="center"/>
            <w:hideMark/>
          </w:tcPr>
          <w:p w:rsidR="002C2D5C" w:rsidRPr="008D6BB7" w:rsidRDefault="002C2D5C" w:rsidP="00C378B2">
            <w:pPr>
              <w:spacing w:line="240" w:lineRule="auto"/>
              <w:jc w:val="both"/>
              <w:rPr>
                <w:b/>
                <w:color w:val="FFFFFF" w:themeColor="background1"/>
                <w:sz w:val="18"/>
                <w:szCs w:val="18"/>
              </w:rPr>
            </w:pPr>
            <w:r w:rsidRPr="008D6BB7">
              <w:rPr>
                <w:b/>
                <w:color w:val="FFFFFF" w:themeColor="background1"/>
                <w:sz w:val="18"/>
                <w:szCs w:val="18"/>
              </w:rPr>
              <w:t>1 bed</w:t>
            </w:r>
          </w:p>
        </w:tc>
        <w:tc>
          <w:tcPr>
            <w:tcW w:w="767" w:type="pct"/>
            <w:tcBorders>
              <w:top w:val="single" w:sz="4" w:space="0" w:color="auto"/>
              <w:left w:val="nil"/>
              <w:bottom w:val="single" w:sz="4" w:space="0" w:color="auto"/>
              <w:right w:val="single" w:sz="4" w:space="0" w:color="auto"/>
            </w:tcBorders>
            <w:shd w:val="clear" w:color="auto" w:fill="000000" w:themeFill="text1"/>
            <w:noWrap/>
            <w:vAlign w:val="center"/>
            <w:hideMark/>
          </w:tcPr>
          <w:p w:rsidR="002C2D5C" w:rsidRPr="008D6BB7" w:rsidRDefault="002C2D5C" w:rsidP="00C378B2">
            <w:pPr>
              <w:spacing w:line="240" w:lineRule="auto"/>
              <w:jc w:val="both"/>
              <w:rPr>
                <w:b/>
                <w:color w:val="FFFFFF" w:themeColor="background1"/>
                <w:sz w:val="18"/>
                <w:szCs w:val="18"/>
              </w:rPr>
            </w:pPr>
            <w:r w:rsidRPr="008D6BB7">
              <w:rPr>
                <w:b/>
                <w:color w:val="FFFFFF" w:themeColor="background1"/>
                <w:sz w:val="18"/>
                <w:szCs w:val="18"/>
              </w:rPr>
              <w:t>2 beds</w:t>
            </w:r>
          </w:p>
        </w:tc>
        <w:tc>
          <w:tcPr>
            <w:tcW w:w="767" w:type="pct"/>
            <w:tcBorders>
              <w:top w:val="single" w:sz="4" w:space="0" w:color="auto"/>
              <w:left w:val="nil"/>
              <w:bottom w:val="single" w:sz="4" w:space="0" w:color="auto"/>
              <w:right w:val="single" w:sz="4" w:space="0" w:color="auto"/>
            </w:tcBorders>
            <w:shd w:val="clear" w:color="auto" w:fill="000000" w:themeFill="text1"/>
            <w:noWrap/>
            <w:vAlign w:val="center"/>
            <w:hideMark/>
          </w:tcPr>
          <w:p w:rsidR="002C2D5C" w:rsidRPr="008D6BB7" w:rsidRDefault="002C2D5C" w:rsidP="00C378B2">
            <w:pPr>
              <w:spacing w:line="240" w:lineRule="auto"/>
              <w:jc w:val="both"/>
              <w:rPr>
                <w:b/>
                <w:color w:val="FFFFFF" w:themeColor="background1"/>
                <w:sz w:val="18"/>
                <w:szCs w:val="18"/>
              </w:rPr>
            </w:pPr>
            <w:r w:rsidRPr="008D6BB7">
              <w:rPr>
                <w:b/>
                <w:color w:val="FFFFFF" w:themeColor="background1"/>
                <w:sz w:val="18"/>
                <w:szCs w:val="18"/>
              </w:rPr>
              <w:t>3 beds</w:t>
            </w:r>
          </w:p>
        </w:tc>
        <w:tc>
          <w:tcPr>
            <w:tcW w:w="767" w:type="pct"/>
            <w:tcBorders>
              <w:top w:val="single" w:sz="4" w:space="0" w:color="auto"/>
              <w:left w:val="nil"/>
              <w:bottom w:val="single" w:sz="4" w:space="0" w:color="auto"/>
              <w:right w:val="single" w:sz="4" w:space="0" w:color="auto"/>
            </w:tcBorders>
            <w:shd w:val="clear" w:color="auto" w:fill="000000" w:themeFill="text1"/>
            <w:noWrap/>
            <w:vAlign w:val="center"/>
            <w:hideMark/>
          </w:tcPr>
          <w:p w:rsidR="002C2D5C" w:rsidRPr="008D6BB7" w:rsidRDefault="002C2D5C" w:rsidP="00C378B2">
            <w:pPr>
              <w:spacing w:line="240" w:lineRule="auto"/>
              <w:jc w:val="both"/>
              <w:rPr>
                <w:b/>
                <w:color w:val="FFFFFF" w:themeColor="background1"/>
                <w:sz w:val="18"/>
                <w:szCs w:val="18"/>
              </w:rPr>
            </w:pPr>
            <w:r w:rsidRPr="008D6BB7">
              <w:rPr>
                <w:b/>
                <w:color w:val="FFFFFF" w:themeColor="background1"/>
                <w:sz w:val="18"/>
                <w:szCs w:val="18"/>
              </w:rPr>
              <w:t>4 beds</w:t>
            </w:r>
          </w:p>
        </w:tc>
        <w:tc>
          <w:tcPr>
            <w:tcW w:w="767" w:type="pct"/>
            <w:tcBorders>
              <w:top w:val="single" w:sz="4" w:space="0" w:color="auto"/>
              <w:left w:val="nil"/>
              <w:bottom w:val="single" w:sz="4" w:space="0" w:color="auto"/>
              <w:right w:val="single" w:sz="4" w:space="0" w:color="auto"/>
            </w:tcBorders>
            <w:shd w:val="clear" w:color="auto" w:fill="000000" w:themeFill="text1"/>
            <w:noWrap/>
            <w:vAlign w:val="center"/>
            <w:hideMark/>
          </w:tcPr>
          <w:p w:rsidR="002C2D5C" w:rsidRPr="008D6BB7" w:rsidRDefault="002C2D5C" w:rsidP="00C378B2">
            <w:pPr>
              <w:spacing w:line="240" w:lineRule="auto"/>
              <w:jc w:val="both"/>
              <w:rPr>
                <w:b/>
                <w:color w:val="FFFFFF" w:themeColor="background1"/>
                <w:sz w:val="18"/>
                <w:szCs w:val="18"/>
              </w:rPr>
            </w:pPr>
            <w:r w:rsidRPr="008D6BB7">
              <w:rPr>
                <w:b/>
                <w:color w:val="FFFFFF" w:themeColor="background1"/>
                <w:sz w:val="18"/>
                <w:szCs w:val="18"/>
              </w:rPr>
              <w:t>All</w:t>
            </w:r>
          </w:p>
        </w:tc>
      </w:tr>
      <w:tr w:rsidR="002C2D5C" w:rsidRPr="008D6BB7" w:rsidTr="00C378B2">
        <w:trPr>
          <w:trHeight w:val="300"/>
        </w:trPr>
        <w:tc>
          <w:tcPr>
            <w:tcW w:w="1164" w:type="pct"/>
            <w:tcBorders>
              <w:top w:val="nil"/>
              <w:left w:val="single" w:sz="4" w:space="0" w:color="auto"/>
              <w:bottom w:val="single" w:sz="4" w:space="0" w:color="auto"/>
              <w:right w:val="single" w:sz="4" w:space="0" w:color="auto"/>
            </w:tcBorders>
            <w:shd w:val="clear" w:color="auto" w:fill="auto"/>
            <w:noWrap/>
            <w:vAlign w:val="center"/>
            <w:hideMark/>
          </w:tcPr>
          <w:p w:rsidR="002C2D5C" w:rsidRPr="008D6BB7" w:rsidRDefault="002C2D5C" w:rsidP="00C378B2">
            <w:pPr>
              <w:spacing w:line="240" w:lineRule="auto"/>
              <w:jc w:val="both"/>
              <w:rPr>
                <w:color w:val="000000" w:themeColor="text1"/>
                <w:sz w:val="18"/>
                <w:szCs w:val="18"/>
              </w:rPr>
            </w:pPr>
            <w:r w:rsidRPr="008D6BB7">
              <w:rPr>
                <w:color w:val="000000" w:themeColor="text1"/>
                <w:sz w:val="18"/>
                <w:szCs w:val="18"/>
              </w:rPr>
              <w:t>Average social rent PCM</w:t>
            </w:r>
          </w:p>
        </w:tc>
        <w:tc>
          <w:tcPr>
            <w:tcW w:w="768" w:type="pct"/>
            <w:tcBorders>
              <w:top w:val="nil"/>
              <w:left w:val="nil"/>
              <w:bottom w:val="single" w:sz="4" w:space="0" w:color="auto"/>
              <w:right w:val="single" w:sz="4" w:space="0" w:color="auto"/>
            </w:tcBorders>
            <w:shd w:val="clear" w:color="auto" w:fill="auto"/>
            <w:noWrap/>
            <w:vAlign w:val="center"/>
          </w:tcPr>
          <w:p w:rsidR="002C2D5C" w:rsidRPr="008D6BB7" w:rsidRDefault="009F1A3D" w:rsidP="00C378B2">
            <w:pPr>
              <w:spacing w:line="240" w:lineRule="auto"/>
              <w:jc w:val="both"/>
              <w:rPr>
                <w:color w:val="000000" w:themeColor="text1"/>
                <w:sz w:val="18"/>
                <w:szCs w:val="18"/>
              </w:rPr>
            </w:pPr>
            <w:r>
              <w:rPr>
                <w:color w:val="000000" w:themeColor="text1"/>
                <w:sz w:val="18"/>
                <w:szCs w:val="18"/>
              </w:rPr>
              <w:t>£78</w:t>
            </w:r>
          </w:p>
        </w:tc>
        <w:tc>
          <w:tcPr>
            <w:tcW w:w="767" w:type="pct"/>
            <w:tcBorders>
              <w:top w:val="nil"/>
              <w:left w:val="nil"/>
              <w:bottom w:val="single" w:sz="4" w:space="0" w:color="auto"/>
              <w:right w:val="single" w:sz="4" w:space="0" w:color="auto"/>
            </w:tcBorders>
            <w:shd w:val="clear" w:color="auto" w:fill="auto"/>
            <w:noWrap/>
          </w:tcPr>
          <w:p w:rsidR="002C2D5C" w:rsidRPr="008D6BB7" w:rsidRDefault="009F1A3D" w:rsidP="00C378B2">
            <w:pPr>
              <w:spacing w:line="240" w:lineRule="auto"/>
              <w:jc w:val="both"/>
              <w:rPr>
                <w:color w:val="000000" w:themeColor="text1"/>
                <w:sz w:val="18"/>
                <w:szCs w:val="18"/>
              </w:rPr>
            </w:pPr>
            <w:r>
              <w:rPr>
                <w:color w:val="000000" w:themeColor="text1"/>
                <w:sz w:val="18"/>
                <w:szCs w:val="18"/>
              </w:rPr>
              <w:t>£92</w:t>
            </w:r>
          </w:p>
        </w:tc>
        <w:tc>
          <w:tcPr>
            <w:tcW w:w="767" w:type="pct"/>
            <w:tcBorders>
              <w:top w:val="nil"/>
              <w:left w:val="nil"/>
              <w:bottom w:val="single" w:sz="4" w:space="0" w:color="auto"/>
              <w:right w:val="single" w:sz="4" w:space="0" w:color="auto"/>
            </w:tcBorders>
            <w:shd w:val="clear" w:color="auto" w:fill="auto"/>
            <w:noWrap/>
          </w:tcPr>
          <w:p w:rsidR="002C2D5C" w:rsidRPr="008D6BB7" w:rsidRDefault="009F1A3D" w:rsidP="00C378B2">
            <w:pPr>
              <w:spacing w:line="240" w:lineRule="auto"/>
              <w:jc w:val="both"/>
              <w:rPr>
                <w:color w:val="000000" w:themeColor="text1"/>
                <w:sz w:val="18"/>
                <w:szCs w:val="18"/>
              </w:rPr>
            </w:pPr>
            <w:r>
              <w:rPr>
                <w:color w:val="000000" w:themeColor="text1"/>
                <w:sz w:val="18"/>
                <w:szCs w:val="18"/>
              </w:rPr>
              <w:t>£101</w:t>
            </w:r>
          </w:p>
        </w:tc>
        <w:tc>
          <w:tcPr>
            <w:tcW w:w="767" w:type="pct"/>
            <w:tcBorders>
              <w:top w:val="nil"/>
              <w:left w:val="nil"/>
              <w:bottom w:val="single" w:sz="4" w:space="0" w:color="auto"/>
              <w:right w:val="single" w:sz="4" w:space="0" w:color="auto"/>
            </w:tcBorders>
            <w:shd w:val="clear" w:color="auto" w:fill="auto"/>
            <w:noWrap/>
          </w:tcPr>
          <w:p w:rsidR="002C2D5C" w:rsidRPr="008D6BB7" w:rsidRDefault="009F1A3D" w:rsidP="00C378B2">
            <w:pPr>
              <w:spacing w:line="240" w:lineRule="auto"/>
              <w:jc w:val="both"/>
              <w:rPr>
                <w:color w:val="000000" w:themeColor="text1"/>
                <w:sz w:val="18"/>
                <w:szCs w:val="18"/>
              </w:rPr>
            </w:pPr>
            <w:r>
              <w:rPr>
                <w:color w:val="000000" w:themeColor="text1"/>
                <w:sz w:val="18"/>
                <w:szCs w:val="18"/>
              </w:rPr>
              <w:t>£121</w:t>
            </w:r>
          </w:p>
        </w:tc>
        <w:tc>
          <w:tcPr>
            <w:tcW w:w="767" w:type="pct"/>
            <w:tcBorders>
              <w:top w:val="nil"/>
              <w:left w:val="nil"/>
              <w:bottom w:val="single" w:sz="4" w:space="0" w:color="auto"/>
              <w:right w:val="single" w:sz="4" w:space="0" w:color="auto"/>
            </w:tcBorders>
            <w:shd w:val="clear" w:color="auto" w:fill="auto"/>
            <w:noWrap/>
          </w:tcPr>
          <w:p w:rsidR="002C2D5C" w:rsidRPr="008D6BB7" w:rsidRDefault="009F1A3D" w:rsidP="00C378B2">
            <w:pPr>
              <w:spacing w:line="240" w:lineRule="auto"/>
              <w:jc w:val="both"/>
              <w:rPr>
                <w:b/>
                <w:color w:val="000000" w:themeColor="text1"/>
                <w:sz w:val="18"/>
                <w:szCs w:val="18"/>
              </w:rPr>
            </w:pPr>
            <w:r>
              <w:rPr>
                <w:b/>
                <w:color w:val="000000" w:themeColor="text1"/>
                <w:sz w:val="18"/>
                <w:szCs w:val="18"/>
              </w:rPr>
              <w:t>£94</w:t>
            </w:r>
          </w:p>
        </w:tc>
      </w:tr>
      <w:tr w:rsidR="002C2D5C" w:rsidRPr="008D6BB7" w:rsidTr="00C378B2">
        <w:trPr>
          <w:trHeight w:val="300"/>
        </w:trPr>
        <w:tc>
          <w:tcPr>
            <w:tcW w:w="1164" w:type="pct"/>
            <w:tcBorders>
              <w:top w:val="nil"/>
              <w:left w:val="single" w:sz="4" w:space="0" w:color="auto"/>
              <w:bottom w:val="single" w:sz="4" w:space="0" w:color="auto"/>
              <w:right w:val="single" w:sz="4" w:space="0" w:color="auto"/>
            </w:tcBorders>
            <w:shd w:val="clear" w:color="auto" w:fill="auto"/>
            <w:noWrap/>
            <w:vAlign w:val="center"/>
            <w:hideMark/>
          </w:tcPr>
          <w:p w:rsidR="002C2D5C" w:rsidRPr="008D6BB7" w:rsidRDefault="002C2D5C" w:rsidP="00C378B2">
            <w:pPr>
              <w:spacing w:line="240" w:lineRule="auto"/>
              <w:jc w:val="both"/>
              <w:rPr>
                <w:color w:val="000000" w:themeColor="text1"/>
                <w:sz w:val="18"/>
                <w:szCs w:val="18"/>
              </w:rPr>
            </w:pPr>
            <w:r w:rsidRPr="008D6BB7">
              <w:rPr>
                <w:color w:val="000000" w:themeColor="text1"/>
                <w:sz w:val="18"/>
                <w:szCs w:val="18"/>
              </w:rPr>
              <w:t>Annual average</w:t>
            </w:r>
          </w:p>
        </w:tc>
        <w:tc>
          <w:tcPr>
            <w:tcW w:w="768" w:type="pct"/>
            <w:tcBorders>
              <w:top w:val="nil"/>
              <w:left w:val="nil"/>
              <w:bottom w:val="single" w:sz="4" w:space="0" w:color="auto"/>
              <w:right w:val="single" w:sz="4" w:space="0" w:color="auto"/>
            </w:tcBorders>
            <w:shd w:val="clear" w:color="auto" w:fill="auto"/>
            <w:noWrap/>
          </w:tcPr>
          <w:p w:rsidR="002C2D5C" w:rsidRPr="008D6BB7" w:rsidRDefault="009F1A3D" w:rsidP="00C378B2">
            <w:pPr>
              <w:spacing w:line="240" w:lineRule="auto"/>
              <w:jc w:val="both"/>
              <w:rPr>
                <w:color w:val="000000" w:themeColor="text1"/>
                <w:sz w:val="18"/>
                <w:szCs w:val="18"/>
              </w:rPr>
            </w:pPr>
            <w:r>
              <w:rPr>
                <w:color w:val="000000" w:themeColor="text1"/>
                <w:sz w:val="18"/>
                <w:szCs w:val="18"/>
              </w:rPr>
              <w:t>£4,062</w:t>
            </w:r>
          </w:p>
        </w:tc>
        <w:tc>
          <w:tcPr>
            <w:tcW w:w="767" w:type="pct"/>
            <w:tcBorders>
              <w:top w:val="nil"/>
              <w:left w:val="nil"/>
              <w:bottom w:val="single" w:sz="4" w:space="0" w:color="auto"/>
              <w:right w:val="single" w:sz="4" w:space="0" w:color="auto"/>
            </w:tcBorders>
            <w:shd w:val="clear" w:color="auto" w:fill="auto"/>
            <w:noWrap/>
          </w:tcPr>
          <w:p w:rsidR="002C2D5C" w:rsidRPr="008D6BB7" w:rsidRDefault="009F1A3D" w:rsidP="00C378B2">
            <w:pPr>
              <w:spacing w:line="240" w:lineRule="auto"/>
              <w:jc w:val="both"/>
              <w:rPr>
                <w:color w:val="000000" w:themeColor="text1"/>
                <w:sz w:val="18"/>
                <w:szCs w:val="18"/>
              </w:rPr>
            </w:pPr>
            <w:r>
              <w:rPr>
                <w:color w:val="000000" w:themeColor="text1"/>
                <w:sz w:val="18"/>
                <w:szCs w:val="18"/>
              </w:rPr>
              <w:t>£4,786</w:t>
            </w:r>
          </w:p>
        </w:tc>
        <w:tc>
          <w:tcPr>
            <w:tcW w:w="767" w:type="pct"/>
            <w:tcBorders>
              <w:top w:val="nil"/>
              <w:left w:val="nil"/>
              <w:bottom w:val="single" w:sz="4" w:space="0" w:color="auto"/>
              <w:right w:val="single" w:sz="4" w:space="0" w:color="auto"/>
            </w:tcBorders>
            <w:shd w:val="clear" w:color="auto" w:fill="auto"/>
            <w:noWrap/>
          </w:tcPr>
          <w:p w:rsidR="002C2D5C" w:rsidRPr="008D6BB7" w:rsidRDefault="009F1A3D" w:rsidP="00C378B2">
            <w:pPr>
              <w:spacing w:line="240" w:lineRule="auto"/>
              <w:jc w:val="both"/>
              <w:rPr>
                <w:color w:val="000000" w:themeColor="text1"/>
                <w:sz w:val="18"/>
                <w:szCs w:val="18"/>
              </w:rPr>
            </w:pPr>
            <w:r>
              <w:rPr>
                <w:color w:val="000000" w:themeColor="text1"/>
                <w:sz w:val="18"/>
                <w:szCs w:val="18"/>
              </w:rPr>
              <w:t>£5,262</w:t>
            </w:r>
          </w:p>
        </w:tc>
        <w:tc>
          <w:tcPr>
            <w:tcW w:w="767" w:type="pct"/>
            <w:tcBorders>
              <w:top w:val="nil"/>
              <w:left w:val="nil"/>
              <w:bottom w:val="single" w:sz="4" w:space="0" w:color="auto"/>
              <w:right w:val="single" w:sz="4" w:space="0" w:color="auto"/>
            </w:tcBorders>
            <w:shd w:val="clear" w:color="auto" w:fill="auto"/>
            <w:noWrap/>
          </w:tcPr>
          <w:p w:rsidR="002C2D5C" w:rsidRPr="008D6BB7" w:rsidRDefault="009F1A3D" w:rsidP="00C378B2">
            <w:pPr>
              <w:spacing w:line="240" w:lineRule="auto"/>
              <w:jc w:val="both"/>
              <w:rPr>
                <w:color w:val="000000" w:themeColor="text1"/>
                <w:sz w:val="18"/>
                <w:szCs w:val="18"/>
              </w:rPr>
            </w:pPr>
            <w:r>
              <w:rPr>
                <w:color w:val="000000" w:themeColor="text1"/>
                <w:sz w:val="18"/>
                <w:szCs w:val="18"/>
              </w:rPr>
              <w:t>£6,313</w:t>
            </w:r>
          </w:p>
        </w:tc>
        <w:tc>
          <w:tcPr>
            <w:tcW w:w="767" w:type="pct"/>
            <w:tcBorders>
              <w:top w:val="nil"/>
              <w:left w:val="nil"/>
              <w:bottom w:val="single" w:sz="4" w:space="0" w:color="auto"/>
              <w:right w:val="single" w:sz="4" w:space="0" w:color="auto"/>
            </w:tcBorders>
            <w:shd w:val="clear" w:color="auto" w:fill="auto"/>
            <w:noWrap/>
          </w:tcPr>
          <w:p w:rsidR="002C2D5C" w:rsidRPr="008D6BB7" w:rsidRDefault="009F1A3D" w:rsidP="00C378B2">
            <w:pPr>
              <w:spacing w:line="240" w:lineRule="auto"/>
              <w:jc w:val="both"/>
              <w:rPr>
                <w:b/>
                <w:color w:val="000000" w:themeColor="text1"/>
                <w:sz w:val="18"/>
                <w:szCs w:val="18"/>
              </w:rPr>
            </w:pPr>
            <w:r>
              <w:rPr>
                <w:b/>
                <w:color w:val="000000" w:themeColor="text1"/>
                <w:sz w:val="18"/>
                <w:szCs w:val="18"/>
              </w:rPr>
              <w:t>£4,869</w:t>
            </w:r>
          </w:p>
        </w:tc>
      </w:tr>
      <w:tr w:rsidR="002C2D5C" w:rsidRPr="008D6BB7" w:rsidTr="00C378B2">
        <w:trPr>
          <w:trHeight w:val="300"/>
        </w:trPr>
        <w:tc>
          <w:tcPr>
            <w:tcW w:w="1164" w:type="pct"/>
            <w:tcBorders>
              <w:top w:val="nil"/>
              <w:left w:val="single" w:sz="4" w:space="0" w:color="auto"/>
              <w:bottom w:val="single" w:sz="4" w:space="0" w:color="auto"/>
              <w:right w:val="single" w:sz="4" w:space="0" w:color="auto"/>
            </w:tcBorders>
            <w:shd w:val="clear" w:color="auto" w:fill="auto"/>
            <w:noWrap/>
            <w:vAlign w:val="center"/>
            <w:hideMark/>
          </w:tcPr>
          <w:p w:rsidR="002C2D5C" w:rsidRPr="008D6BB7" w:rsidRDefault="002C2D5C" w:rsidP="00C378B2">
            <w:pPr>
              <w:spacing w:line="240" w:lineRule="auto"/>
              <w:jc w:val="both"/>
              <w:rPr>
                <w:color w:val="000000" w:themeColor="text1"/>
                <w:sz w:val="18"/>
                <w:szCs w:val="18"/>
              </w:rPr>
            </w:pPr>
            <w:r w:rsidRPr="008D6BB7">
              <w:rPr>
                <w:color w:val="000000" w:themeColor="text1"/>
                <w:sz w:val="18"/>
                <w:szCs w:val="18"/>
              </w:rPr>
              <w:t>Income needed</w:t>
            </w:r>
          </w:p>
        </w:tc>
        <w:tc>
          <w:tcPr>
            <w:tcW w:w="768" w:type="pct"/>
            <w:tcBorders>
              <w:top w:val="nil"/>
              <w:left w:val="nil"/>
              <w:bottom w:val="single" w:sz="4" w:space="0" w:color="auto"/>
              <w:right w:val="single" w:sz="4" w:space="0" w:color="auto"/>
            </w:tcBorders>
            <w:shd w:val="clear" w:color="auto" w:fill="auto"/>
            <w:noWrap/>
          </w:tcPr>
          <w:p w:rsidR="002C2D5C" w:rsidRPr="008D6BB7" w:rsidRDefault="009F1A3D" w:rsidP="00C378B2">
            <w:pPr>
              <w:spacing w:line="240" w:lineRule="auto"/>
              <w:jc w:val="both"/>
              <w:rPr>
                <w:color w:val="000000" w:themeColor="text1"/>
                <w:sz w:val="18"/>
                <w:szCs w:val="18"/>
              </w:rPr>
            </w:pPr>
            <w:r>
              <w:rPr>
                <w:color w:val="000000" w:themeColor="text1"/>
                <w:sz w:val="18"/>
                <w:szCs w:val="18"/>
              </w:rPr>
              <w:t>£16,247</w:t>
            </w:r>
          </w:p>
        </w:tc>
        <w:tc>
          <w:tcPr>
            <w:tcW w:w="767" w:type="pct"/>
            <w:tcBorders>
              <w:top w:val="nil"/>
              <w:left w:val="nil"/>
              <w:bottom w:val="single" w:sz="4" w:space="0" w:color="auto"/>
              <w:right w:val="single" w:sz="4" w:space="0" w:color="auto"/>
            </w:tcBorders>
            <w:shd w:val="clear" w:color="auto" w:fill="auto"/>
            <w:noWrap/>
          </w:tcPr>
          <w:p w:rsidR="002C2D5C" w:rsidRPr="008D6BB7" w:rsidRDefault="009F1A3D" w:rsidP="00C378B2">
            <w:pPr>
              <w:spacing w:line="240" w:lineRule="auto"/>
              <w:jc w:val="both"/>
              <w:rPr>
                <w:color w:val="000000" w:themeColor="text1"/>
                <w:sz w:val="18"/>
                <w:szCs w:val="18"/>
              </w:rPr>
            </w:pPr>
            <w:r>
              <w:rPr>
                <w:color w:val="000000" w:themeColor="text1"/>
                <w:sz w:val="18"/>
                <w:szCs w:val="18"/>
              </w:rPr>
              <w:t>£19,142</w:t>
            </w:r>
          </w:p>
        </w:tc>
        <w:tc>
          <w:tcPr>
            <w:tcW w:w="767" w:type="pct"/>
            <w:tcBorders>
              <w:top w:val="nil"/>
              <w:left w:val="nil"/>
              <w:bottom w:val="single" w:sz="4" w:space="0" w:color="auto"/>
              <w:right w:val="single" w:sz="4" w:space="0" w:color="auto"/>
            </w:tcBorders>
            <w:shd w:val="clear" w:color="auto" w:fill="auto"/>
            <w:noWrap/>
          </w:tcPr>
          <w:p w:rsidR="002C2D5C" w:rsidRPr="008D6BB7" w:rsidRDefault="009F1A3D" w:rsidP="00C378B2">
            <w:pPr>
              <w:spacing w:line="240" w:lineRule="auto"/>
              <w:jc w:val="both"/>
              <w:rPr>
                <w:color w:val="000000" w:themeColor="text1"/>
                <w:sz w:val="18"/>
                <w:szCs w:val="18"/>
              </w:rPr>
            </w:pPr>
            <w:r>
              <w:rPr>
                <w:color w:val="000000" w:themeColor="text1"/>
                <w:sz w:val="18"/>
                <w:szCs w:val="18"/>
              </w:rPr>
              <w:t>£21,050</w:t>
            </w:r>
          </w:p>
        </w:tc>
        <w:tc>
          <w:tcPr>
            <w:tcW w:w="767" w:type="pct"/>
            <w:tcBorders>
              <w:top w:val="nil"/>
              <w:left w:val="nil"/>
              <w:bottom w:val="single" w:sz="4" w:space="0" w:color="auto"/>
              <w:right w:val="single" w:sz="4" w:space="0" w:color="auto"/>
            </w:tcBorders>
            <w:shd w:val="clear" w:color="auto" w:fill="auto"/>
            <w:noWrap/>
          </w:tcPr>
          <w:p w:rsidR="002C2D5C" w:rsidRPr="008D6BB7" w:rsidRDefault="009F1A3D" w:rsidP="00C378B2">
            <w:pPr>
              <w:spacing w:line="240" w:lineRule="auto"/>
              <w:jc w:val="both"/>
              <w:rPr>
                <w:color w:val="000000" w:themeColor="text1"/>
                <w:sz w:val="18"/>
                <w:szCs w:val="18"/>
              </w:rPr>
            </w:pPr>
            <w:r>
              <w:rPr>
                <w:color w:val="000000" w:themeColor="text1"/>
                <w:sz w:val="18"/>
                <w:szCs w:val="18"/>
              </w:rPr>
              <w:t>£25,251</w:t>
            </w:r>
          </w:p>
        </w:tc>
        <w:tc>
          <w:tcPr>
            <w:tcW w:w="767" w:type="pct"/>
            <w:tcBorders>
              <w:top w:val="nil"/>
              <w:left w:val="nil"/>
              <w:bottom w:val="single" w:sz="4" w:space="0" w:color="auto"/>
              <w:right w:val="single" w:sz="4" w:space="0" w:color="auto"/>
            </w:tcBorders>
            <w:shd w:val="clear" w:color="auto" w:fill="auto"/>
            <w:noWrap/>
          </w:tcPr>
          <w:p w:rsidR="002C2D5C" w:rsidRPr="008D6BB7" w:rsidRDefault="009F1A3D" w:rsidP="00C378B2">
            <w:pPr>
              <w:spacing w:line="240" w:lineRule="auto"/>
              <w:jc w:val="both"/>
              <w:rPr>
                <w:b/>
                <w:color w:val="000000" w:themeColor="text1"/>
                <w:sz w:val="18"/>
                <w:szCs w:val="18"/>
              </w:rPr>
            </w:pPr>
            <w:r>
              <w:rPr>
                <w:b/>
                <w:color w:val="000000" w:themeColor="text1"/>
                <w:sz w:val="18"/>
                <w:szCs w:val="18"/>
              </w:rPr>
              <w:t>£19,475</w:t>
            </w:r>
          </w:p>
        </w:tc>
      </w:tr>
    </w:tbl>
    <w:p w:rsidR="002C2D5C" w:rsidRPr="008D6BB7" w:rsidRDefault="009063DD" w:rsidP="002C2D5C">
      <w:pPr>
        <w:pStyle w:val="Source"/>
        <w:jc w:val="both"/>
        <w:rPr>
          <w:color w:val="000000" w:themeColor="text1"/>
          <w:sz w:val="18"/>
          <w:szCs w:val="18"/>
          <w:lang w:val="en-GB"/>
        </w:rPr>
      </w:pPr>
      <w:r>
        <w:rPr>
          <w:color w:val="000000" w:themeColor="text1"/>
          <w:sz w:val="18"/>
          <w:szCs w:val="18"/>
          <w:lang w:val="en-GB"/>
        </w:rPr>
        <w:t>Source: Homes England</w:t>
      </w:r>
      <w:r w:rsidR="002C2D5C" w:rsidRPr="008D6BB7">
        <w:rPr>
          <w:color w:val="000000" w:themeColor="text1"/>
          <w:sz w:val="18"/>
          <w:szCs w:val="18"/>
          <w:lang w:val="en-GB"/>
        </w:rPr>
        <w:t>, AECOM Calculations</w:t>
      </w:r>
    </w:p>
    <w:p w:rsidR="002C2D5C" w:rsidRPr="00C83927" w:rsidRDefault="002C2D5C" w:rsidP="002C2D5C">
      <w:pPr>
        <w:pStyle w:val="Appendixheading2"/>
        <w:numPr>
          <w:ilvl w:val="2"/>
          <w:numId w:val="21"/>
        </w:numPr>
        <w:jc w:val="both"/>
      </w:pPr>
      <w:bookmarkStart w:id="172" w:name="_Toc518220505"/>
      <w:bookmarkStart w:id="173" w:name="_Toc521492007"/>
      <w:bookmarkStart w:id="174" w:name="_Toc536797462"/>
      <w:bookmarkStart w:id="175" w:name="_Toc2690297"/>
      <w:bookmarkStart w:id="176" w:name="_Toc33015882"/>
      <w:r w:rsidRPr="00C83927">
        <w:t xml:space="preserve">Affordable </w:t>
      </w:r>
      <w:r>
        <w:t>r</w:t>
      </w:r>
      <w:r w:rsidRPr="00C83927">
        <w:t>ent</w:t>
      </w:r>
      <w:bookmarkEnd w:id="172"/>
      <w:bookmarkEnd w:id="173"/>
      <w:bookmarkEnd w:id="174"/>
      <w:bookmarkEnd w:id="175"/>
      <w:bookmarkEnd w:id="176"/>
    </w:p>
    <w:p w:rsidR="002C2D5C" w:rsidRPr="008D6BB7" w:rsidRDefault="002C2D5C" w:rsidP="002C2D5C">
      <w:pPr>
        <w:pStyle w:val="ListNumber"/>
        <w:spacing w:before="0"/>
        <w:jc w:val="both"/>
        <w:rPr>
          <w:color w:val="000000" w:themeColor="text1"/>
          <w:sz w:val="18"/>
          <w:szCs w:val="18"/>
        </w:rPr>
      </w:pPr>
      <w:r w:rsidRPr="008D6BB7">
        <w:rPr>
          <w:color w:val="000000" w:themeColor="text1"/>
          <w:sz w:val="18"/>
          <w:szCs w:val="18"/>
        </w:rPr>
        <w:t>Affordable rent is controlled at no more than 80% of the local market rent</w:t>
      </w:r>
      <w:r w:rsidR="00637491">
        <w:rPr>
          <w:color w:val="000000" w:themeColor="text1"/>
          <w:sz w:val="18"/>
          <w:szCs w:val="18"/>
        </w:rPr>
        <w:t>. As</w:t>
      </w:r>
      <w:r w:rsidRPr="008D6BB7">
        <w:rPr>
          <w:color w:val="000000" w:themeColor="text1"/>
          <w:sz w:val="18"/>
          <w:szCs w:val="18"/>
        </w:rPr>
        <w:t xml:space="preserve"> </w:t>
      </w:r>
      <w:r w:rsidR="0084044B">
        <w:rPr>
          <w:color w:val="000000" w:themeColor="text1"/>
          <w:sz w:val="18"/>
          <w:szCs w:val="18"/>
        </w:rPr>
        <w:t>demonstrated in this report</w:t>
      </w:r>
      <w:r w:rsidR="00BE7DF2">
        <w:rPr>
          <w:color w:val="000000" w:themeColor="text1"/>
          <w:sz w:val="18"/>
          <w:szCs w:val="18"/>
        </w:rPr>
        <w:t>,</w:t>
      </w:r>
      <w:r w:rsidRPr="008D6BB7">
        <w:rPr>
          <w:color w:val="000000" w:themeColor="text1"/>
          <w:sz w:val="18"/>
          <w:szCs w:val="18"/>
        </w:rPr>
        <w:t xml:space="preserve"> the annual entry-level rent </w:t>
      </w:r>
      <w:r w:rsidR="00BE7DF2">
        <w:rPr>
          <w:color w:val="000000" w:themeColor="text1"/>
          <w:sz w:val="18"/>
          <w:szCs w:val="18"/>
        </w:rPr>
        <w:t xml:space="preserve">in </w:t>
      </w:r>
      <w:r w:rsidR="006E4396">
        <w:rPr>
          <w:color w:val="000000" w:themeColor="text1"/>
          <w:sz w:val="18"/>
          <w:szCs w:val="18"/>
        </w:rPr>
        <w:t>Reedham</w:t>
      </w:r>
      <w:r w:rsidR="00BE7DF2">
        <w:rPr>
          <w:color w:val="000000" w:themeColor="text1"/>
          <w:sz w:val="18"/>
          <w:szCs w:val="18"/>
        </w:rPr>
        <w:t xml:space="preserve"> </w:t>
      </w:r>
      <w:r w:rsidRPr="008D6BB7">
        <w:rPr>
          <w:color w:val="000000" w:themeColor="text1"/>
          <w:sz w:val="18"/>
          <w:szCs w:val="18"/>
        </w:rPr>
        <w:t xml:space="preserve">is </w:t>
      </w:r>
      <w:r w:rsidR="00BE7DF2">
        <w:rPr>
          <w:color w:val="000000" w:themeColor="text1"/>
          <w:sz w:val="18"/>
          <w:szCs w:val="18"/>
        </w:rPr>
        <w:t>£</w:t>
      </w:r>
      <w:r w:rsidR="009F1A3D">
        <w:rPr>
          <w:color w:val="000000" w:themeColor="text1"/>
          <w:sz w:val="18"/>
          <w:szCs w:val="18"/>
        </w:rPr>
        <w:t>8,220</w:t>
      </w:r>
      <w:r w:rsidRPr="008D6BB7">
        <w:rPr>
          <w:color w:val="000000" w:themeColor="text1"/>
          <w:sz w:val="18"/>
          <w:szCs w:val="18"/>
        </w:rPr>
        <w:t xml:space="preserve">. In the event of a 20% reduction in rent to </w:t>
      </w:r>
      <w:r w:rsidR="00BE7DF2">
        <w:rPr>
          <w:color w:val="000000" w:themeColor="text1"/>
          <w:sz w:val="18"/>
          <w:szCs w:val="18"/>
        </w:rPr>
        <w:t>£</w:t>
      </w:r>
      <w:r w:rsidR="009F1A3D">
        <w:rPr>
          <w:color w:val="000000" w:themeColor="text1"/>
          <w:sz w:val="18"/>
          <w:szCs w:val="18"/>
        </w:rPr>
        <w:t>6,576</w:t>
      </w:r>
      <w:r w:rsidRPr="008D6BB7">
        <w:rPr>
          <w:color w:val="000000" w:themeColor="text1"/>
          <w:sz w:val="18"/>
          <w:szCs w:val="18"/>
        </w:rPr>
        <w:t xml:space="preserve">, the income threshold would </w:t>
      </w:r>
      <w:r w:rsidR="00BE7DF2">
        <w:rPr>
          <w:color w:val="000000" w:themeColor="text1"/>
          <w:sz w:val="18"/>
          <w:szCs w:val="18"/>
        </w:rPr>
        <w:t>reduce</w:t>
      </w:r>
      <w:r w:rsidRPr="008D6BB7">
        <w:rPr>
          <w:color w:val="000000" w:themeColor="text1"/>
          <w:sz w:val="18"/>
          <w:szCs w:val="18"/>
        </w:rPr>
        <w:t xml:space="preserve"> to an estimated </w:t>
      </w:r>
      <w:r w:rsidR="00BE7DF2" w:rsidRPr="009F1A3D">
        <w:rPr>
          <w:b/>
          <w:color w:val="000000" w:themeColor="text1"/>
          <w:sz w:val="18"/>
          <w:szCs w:val="18"/>
        </w:rPr>
        <w:t>£</w:t>
      </w:r>
      <w:r w:rsidR="009F1A3D">
        <w:rPr>
          <w:b/>
          <w:color w:val="000000" w:themeColor="text1"/>
          <w:sz w:val="18"/>
          <w:szCs w:val="18"/>
        </w:rPr>
        <w:t>26,304</w:t>
      </w:r>
      <w:r w:rsidRPr="008D6BB7">
        <w:rPr>
          <w:color w:val="000000" w:themeColor="text1"/>
          <w:sz w:val="18"/>
          <w:szCs w:val="18"/>
        </w:rPr>
        <w:t xml:space="preserve">. </w:t>
      </w:r>
      <w:r w:rsidR="0084044B">
        <w:rPr>
          <w:color w:val="000000" w:themeColor="text1"/>
          <w:sz w:val="18"/>
          <w:szCs w:val="18"/>
        </w:rPr>
        <w:t xml:space="preserve">However, registered providers who own and manage affordable rented housing may also apply a cap to the rent to ensure that it is affordable to those on housing benefit (where under Universal Credit the total received in all benefits to working age households is £20,000). Even an 80% discount on the market rent may not be sufficient to ensure that households can afford it, particularly when they are dependent on benefits. RPs in some areas have applied caps to larger properties where the higher rents would make them unaffordable to families under Universal Credit. This may mean that the rents are actually 50-60% of market levels rather than 80%. </w:t>
      </w:r>
    </w:p>
    <w:p w:rsidR="002C2D5C" w:rsidRPr="00C83927" w:rsidRDefault="002C2D5C" w:rsidP="002C2D5C">
      <w:pPr>
        <w:pStyle w:val="Appendixheading2"/>
        <w:numPr>
          <w:ilvl w:val="2"/>
          <w:numId w:val="21"/>
        </w:numPr>
        <w:jc w:val="both"/>
      </w:pPr>
      <w:bookmarkStart w:id="177" w:name="_Toc521492008"/>
      <w:bookmarkStart w:id="178" w:name="_Toc536797463"/>
      <w:bookmarkStart w:id="179" w:name="_Toc2690298"/>
      <w:bookmarkStart w:id="180" w:name="_Toc33015883"/>
      <w:r w:rsidRPr="00C83927">
        <w:t xml:space="preserve">Intermediate </w:t>
      </w:r>
      <w:r>
        <w:t>t</w:t>
      </w:r>
      <w:r w:rsidRPr="00C83927">
        <w:t>enures</w:t>
      </w:r>
      <w:bookmarkEnd w:id="177"/>
      <w:bookmarkEnd w:id="178"/>
      <w:bookmarkEnd w:id="179"/>
      <w:bookmarkEnd w:id="180"/>
    </w:p>
    <w:p w:rsidR="002C2D5C" w:rsidRPr="008D6BB7" w:rsidRDefault="002C2D5C" w:rsidP="002C2D5C">
      <w:pPr>
        <w:pStyle w:val="ListNumber"/>
        <w:spacing w:before="0"/>
        <w:jc w:val="both"/>
        <w:rPr>
          <w:sz w:val="18"/>
          <w:szCs w:val="18"/>
          <w:lang w:val="en-GB"/>
        </w:rPr>
      </w:pPr>
      <w:r w:rsidRPr="008D6BB7">
        <w:rPr>
          <w:sz w:val="18"/>
          <w:szCs w:val="18"/>
          <w:lang w:val="en-GB"/>
        </w:rPr>
        <w:t>Intermediate housing includes homes for sale and rent provided at a cost above social rent, but below market levels</w:t>
      </w:r>
      <w:r w:rsidR="00BE7DF2">
        <w:rPr>
          <w:sz w:val="18"/>
          <w:szCs w:val="18"/>
          <w:lang w:val="en-GB"/>
        </w:rPr>
        <w:t>,</w:t>
      </w:r>
      <w:r w:rsidRPr="008D6BB7">
        <w:rPr>
          <w:sz w:val="18"/>
          <w:szCs w:val="18"/>
          <w:lang w:val="en-GB"/>
        </w:rPr>
        <w:t xml:space="preserve"> subject to the criteria in the </w:t>
      </w:r>
      <w:r w:rsidR="00BE7DF2">
        <w:rPr>
          <w:sz w:val="18"/>
          <w:szCs w:val="18"/>
          <w:lang w:val="en-GB"/>
        </w:rPr>
        <w:t xml:space="preserve">affordable housing </w:t>
      </w:r>
      <w:r w:rsidRPr="008D6BB7">
        <w:rPr>
          <w:sz w:val="18"/>
          <w:szCs w:val="18"/>
          <w:lang w:val="en-GB"/>
        </w:rPr>
        <w:t>definition above. They can include shared equity (shared ownership and equity loans), other low-cost homes for sale and intermediate rent, but not affordable rented housing.</w:t>
      </w:r>
    </w:p>
    <w:p w:rsidR="002C2D5C" w:rsidRPr="008D6BB7" w:rsidRDefault="00A96845" w:rsidP="002C2D5C">
      <w:pPr>
        <w:pStyle w:val="ListNumber"/>
        <w:numPr>
          <w:ilvl w:val="0"/>
          <w:numId w:val="0"/>
        </w:numPr>
        <w:ind w:left="425"/>
        <w:jc w:val="both"/>
        <w:rPr>
          <w:b/>
          <w:sz w:val="18"/>
          <w:szCs w:val="18"/>
        </w:rPr>
      </w:pPr>
      <w:r>
        <w:rPr>
          <w:b/>
          <w:sz w:val="18"/>
          <w:szCs w:val="18"/>
        </w:rPr>
        <w:t>Discounted market sale</w:t>
      </w:r>
    </w:p>
    <w:p w:rsidR="002C2D5C" w:rsidRPr="008D6BB7" w:rsidRDefault="00FC2544" w:rsidP="002C2D5C">
      <w:pPr>
        <w:pStyle w:val="ListNumber"/>
        <w:spacing w:before="0"/>
        <w:jc w:val="both"/>
        <w:rPr>
          <w:sz w:val="18"/>
          <w:szCs w:val="18"/>
          <w:lang w:val="en-GB"/>
        </w:rPr>
      </w:pPr>
      <w:r>
        <w:rPr>
          <w:sz w:val="18"/>
          <w:szCs w:val="18"/>
          <w:lang w:val="en-GB"/>
        </w:rPr>
        <w:lastRenderedPageBreak/>
        <w:t>W</w:t>
      </w:r>
      <w:r w:rsidR="002C2D5C" w:rsidRPr="008D6BB7">
        <w:rPr>
          <w:sz w:val="18"/>
          <w:szCs w:val="18"/>
          <w:lang w:val="en-GB"/>
        </w:rPr>
        <w:t>hether to treat discounted market sale h</w:t>
      </w:r>
      <w:r>
        <w:rPr>
          <w:sz w:val="18"/>
          <w:szCs w:val="18"/>
          <w:lang w:val="en-GB"/>
        </w:rPr>
        <w:t xml:space="preserve">omes as affordable housing or not depends on </w:t>
      </w:r>
      <w:r w:rsidR="002C2D5C" w:rsidRPr="008D6BB7">
        <w:rPr>
          <w:sz w:val="18"/>
          <w:szCs w:val="18"/>
          <w:lang w:val="en-GB"/>
        </w:rPr>
        <w:t xml:space="preserve">whether lowering the asking price of new build homes of a size and type suitable to first time buyers by 20% would bring them within reach of people currently unable to access </w:t>
      </w:r>
      <w:r w:rsidR="00637491">
        <w:rPr>
          <w:sz w:val="18"/>
          <w:szCs w:val="18"/>
          <w:lang w:val="en-GB"/>
        </w:rPr>
        <w:t>market housing</w:t>
      </w:r>
      <w:r w:rsidR="002C2D5C" w:rsidRPr="008D6BB7">
        <w:rPr>
          <w:sz w:val="18"/>
          <w:szCs w:val="18"/>
          <w:lang w:val="en-GB"/>
        </w:rPr>
        <w:t xml:space="preserve"> for purchase. </w:t>
      </w:r>
    </w:p>
    <w:p w:rsidR="002C2D5C" w:rsidRPr="008D6BB7" w:rsidRDefault="002C2D5C" w:rsidP="002C2D5C">
      <w:pPr>
        <w:pStyle w:val="ListNumber"/>
        <w:spacing w:before="0"/>
        <w:jc w:val="both"/>
        <w:rPr>
          <w:sz w:val="18"/>
          <w:szCs w:val="18"/>
          <w:lang w:val="en-GB"/>
        </w:rPr>
      </w:pPr>
      <w:r w:rsidRPr="008D6BB7">
        <w:rPr>
          <w:sz w:val="18"/>
          <w:szCs w:val="18"/>
          <w:lang w:val="en-GB"/>
        </w:rPr>
        <w:t>To provide a conservative assessment of the suitability of discounted market sale h</w:t>
      </w:r>
      <w:r w:rsidR="00FC2544">
        <w:rPr>
          <w:sz w:val="18"/>
          <w:szCs w:val="18"/>
          <w:lang w:val="en-GB"/>
        </w:rPr>
        <w:t xml:space="preserve">omes, it is appropriate to apply </w:t>
      </w:r>
      <w:r w:rsidRPr="008D6BB7">
        <w:rPr>
          <w:sz w:val="18"/>
          <w:szCs w:val="18"/>
          <w:lang w:val="en-GB"/>
        </w:rPr>
        <w:t>the value we have estimated for an entry-level dwelling</w:t>
      </w:r>
      <w:r w:rsidR="00FC2544">
        <w:rPr>
          <w:sz w:val="18"/>
          <w:szCs w:val="18"/>
          <w:lang w:val="en-GB"/>
        </w:rPr>
        <w:t>, namely £</w:t>
      </w:r>
      <w:r w:rsidR="009F1A3D">
        <w:rPr>
          <w:color w:val="000000" w:themeColor="text1"/>
          <w:sz w:val="18"/>
          <w:szCs w:val="18"/>
        </w:rPr>
        <w:t>178,750</w:t>
      </w:r>
      <w:r w:rsidR="00FC2544">
        <w:rPr>
          <w:sz w:val="18"/>
          <w:szCs w:val="18"/>
          <w:lang w:val="en-GB"/>
        </w:rPr>
        <w:t>.</w:t>
      </w:r>
    </w:p>
    <w:p w:rsidR="002C2D5C" w:rsidRDefault="002C2D5C" w:rsidP="002C2D5C">
      <w:pPr>
        <w:pStyle w:val="ListNumber"/>
        <w:spacing w:before="0"/>
        <w:jc w:val="both"/>
        <w:rPr>
          <w:sz w:val="18"/>
          <w:szCs w:val="18"/>
          <w:lang w:val="en-GB"/>
        </w:rPr>
      </w:pPr>
      <w:r w:rsidRPr="008D6BB7">
        <w:rPr>
          <w:sz w:val="18"/>
          <w:szCs w:val="18"/>
          <w:lang w:val="en-GB"/>
        </w:rPr>
        <w:t xml:space="preserve">Applying a discount of 20% </w:t>
      </w:r>
      <w:r w:rsidR="00FC2544">
        <w:rPr>
          <w:sz w:val="18"/>
          <w:szCs w:val="18"/>
          <w:lang w:val="en-GB"/>
        </w:rPr>
        <w:t xml:space="preserve">provides an </w:t>
      </w:r>
      <w:r w:rsidRPr="008D6BB7">
        <w:rPr>
          <w:sz w:val="18"/>
          <w:szCs w:val="18"/>
          <w:lang w:val="en-GB"/>
        </w:rPr>
        <w:t xml:space="preserve">approximate selling price of </w:t>
      </w:r>
      <w:r w:rsidR="00FC2544">
        <w:rPr>
          <w:sz w:val="18"/>
          <w:szCs w:val="18"/>
          <w:lang w:val="en-GB"/>
        </w:rPr>
        <w:t>£</w:t>
      </w:r>
      <w:r w:rsidR="009F1A3D">
        <w:rPr>
          <w:color w:val="000000" w:themeColor="text1"/>
          <w:sz w:val="18"/>
          <w:szCs w:val="18"/>
        </w:rPr>
        <w:t>143,000</w:t>
      </w:r>
      <w:r w:rsidRPr="008D6BB7">
        <w:rPr>
          <w:sz w:val="18"/>
          <w:szCs w:val="18"/>
          <w:lang w:val="en-GB"/>
        </w:rPr>
        <w:t xml:space="preserve">. Allowing for a 10% deposit further reduces the value of the property to </w:t>
      </w:r>
      <w:r w:rsidR="00FC2544">
        <w:rPr>
          <w:sz w:val="18"/>
          <w:szCs w:val="18"/>
          <w:lang w:val="en-GB"/>
        </w:rPr>
        <w:t>£</w:t>
      </w:r>
      <w:r w:rsidR="009F1A3D">
        <w:rPr>
          <w:color w:val="000000" w:themeColor="text1"/>
          <w:sz w:val="18"/>
          <w:szCs w:val="18"/>
        </w:rPr>
        <w:t>128,700</w:t>
      </w:r>
      <w:r w:rsidRPr="008D6BB7">
        <w:rPr>
          <w:sz w:val="18"/>
          <w:szCs w:val="18"/>
          <w:lang w:val="en-GB"/>
        </w:rPr>
        <w:t xml:space="preserve">. The income threshold at a </w:t>
      </w:r>
      <w:r w:rsidR="00637491">
        <w:rPr>
          <w:sz w:val="18"/>
          <w:szCs w:val="18"/>
          <w:lang w:val="en-GB"/>
        </w:rPr>
        <w:t>loan to income ratio</w:t>
      </w:r>
      <w:r w:rsidRPr="008D6BB7">
        <w:rPr>
          <w:sz w:val="18"/>
          <w:szCs w:val="18"/>
          <w:lang w:val="en-GB"/>
        </w:rPr>
        <w:t xml:space="preserve"> of 3.5 is </w:t>
      </w:r>
      <w:r w:rsidR="00FC2544">
        <w:rPr>
          <w:sz w:val="18"/>
          <w:szCs w:val="18"/>
          <w:lang w:val="en-GB"/>
        </w:rPr>
        <w:t>£</w:t>
      </w:r>
      <w:r w:rsidR="009F1A3D" w:rsidRPr="009F1A3D">
        <w:rPr>
          <w:color w:val="000000" w:themeColor="text1"/>
          <w:sz w:val="18"/>
          <w:szCs w:val="18"/>
        </w:rPr>
        <w:t>36,771</w:t>
      </w:r>
      <w:r w:rsidRPr="008D6BB7">
        <w:rPr>
          <w:sz w:val="18"/>
          <w:szCs w:val="18"/>
          <w:lang w:val="en-GB"/>
        </w:rPr>
        <w:t>.</w:t>
      </w:r>
    </w:p>
    <w:p w:rsidR="0084044B" w:rsidRPr="008D6BB7" w:rsidRDefault="0084044B" w:rsidP="002C2D5C">
      <w:pPr>
        <w:pStyle w:val="ListNumber"/>
        <w:spacing w:before="0"/>
        <w:jc w:val="both"/>
        <w:rPr>
          <w:sz w:val="18"/>
          <w:szCs w:val="18"/>
          <w:lang w:val="en-GB"/>
        </w:rPr>
      </w:pPr>
      <w:r>
        <w:rPr>
          <w:sz w:val="18"/>
          <w:szCs w:val="18"/>
          <w:lang w:val="en-GB"/>
        </w:rPr>
        <w:t xml:space="preserve">In practice, developers are likely to price </w:t>
      </w:r>
      <w:r w:rsidR="00A96845">
        <w:rPr>
          <w:sz w:val="18"/>
          <w:szCs w:val="18"/>
          <w:lang w:val="en-GB"/>
        </w:rPr>
        <w:t>discounted market homes</w:t>
      </w:r>
      <w:r>
        <w:rPr>
          <w:sz w:val="18"/>
          <w:szCs w:val="18"/>
          <w:lang w:val="en-GB"/>
        </w:rPr>
        <w:t xml:space="preserve"> in relation to new build prices. When these are discounted by 20% they may not offer any discount on entry level prices in the existing dwelling stock. </w:t>
      </w:r>
    </w:p>
    <w:p w:rsidR="002C2D5C" w:rsidRPr="008D6BB7" w:rsidRDefault="002C2D5C" w:rsidP="002C2D5C">
      <w:pPr>
        <w:pStyle w:val="ListNumber"/>
        <w:numPr>
          <w:ilvl w:val="0"/>
          <w:numId w:val="0"/>
        </w:numPr>
        <w:ind w:left="425"/>
        <w:jc w:val="both"/>
        <w:rPr>
          <w:b/>
          <w:sz w:val="18"/>
          <w:szCs w:val="18"/>
        </w:rPr>
      </w:pPr>
      <w:bookmarkStart w:id="181" w:name="_Toc518220507"/>
      <w:bookmarkStart w:id="182" w:name="_Toc521492010"/>
      <w:bookmarkStart w:id="183" w:name="_Toc536797465"/>
      <w:r w:rsidRPr="008D6BB7">
        <w:rPr>
          <w:b/>
          <w:sz w:val="18"/>
          <w:szCs w:val="18"/>
        </w:rPr>
        <w:t>Shared ownership</w:t>
      </w:r>
      <w:bookmarkEnd w:id="181"/>
      <w:bookmarkEnd w:id="182"/>
      <w:bookmarkEnd w:id="183"/>
    </w:p>
    <w:p w:rsidR="00FC2544" w:rsidRDefault="002C2D5C" w:rsidP="002C2D5C">
      <w:pPr>
        <w:pStyle w:val="ListNumber"/>
        <w:spacing w:before="0"/>
        <w:jc w:val="both"/>
        <w:rPr>
          <w:sz w:val="18"/>
          <w:szCs w:val="18"/>
          <w:lang w:val="en-GB"/>
        </w:rPr>
      </w:pPr>
      <w:r w:rsidRPr="008D6BB7">
        <w:rPr>
          <w:sz w:val="18"/>
          <w:szCs w:val="18"/>
          <w:lang w:val="en-GB"/>
        </w:rPr>
        <w:t>Shared ownership involves the purchaser buying an initial share in a property typically of between 25% and 75% and paying rent on the share retained by the provider. Shared ownership is flexible in two respects, in the share which can be purchased and in the rental payable on the share retained by the provider. Both of these are variable. The share owned by the leas</w:t>
      </w:r>
      <w:r w:rsidR="00FC2544">
        <w:rPr>
          <w:sz w:val="18"/>
          <w:szCs w:val="18"/>
          <w:lang w:val="en-GB"/>
        </w:rPr>
        <w:t>eholder can be varied by 'staircasing'. Generally, stair</w:t>
      </w:r>
      <w:r w:rsidRPr="008D6BB7">
        <w:rPr>
          <w:sz w:val="18"/>
          <w:szCs w:val="18"/>
          <w:lang w:val="en-GB"/>
        </w:rPr>
        <w:t xml:space="preserve">casing will be upward, </w:t>
      </w:r>
      <w:r w:rsidR="00FC2544">
        <w:rPr>
          <w:sz w:val="18"/>
          <w:szCs w:val="18"/>
          <w:lang w:val="en-GB"/>
        </w:rPr>
        <w:t xml:space="preserve">thereby </w:t>
      </w:r>
      <w:r w:rsidRPr="008D6BB7">
        <w:rPr>
          <w:sz w:val="18"/>
          <w:szCs w:val="18"/>
          <w:lang w:val="en-GB"/>
        </w:rPr>
        <w:t>inc</w:t>
      </w:r>
      <w:r w:rsidR="00FC2544">
        <w:rPr>
          <w:sz w:val="18"/>
          <w:szCs w:val="18"/>
          <w:lang w:val="en-GB"/>
        </w:rPr>
        <w:t xml:space="preserve">reasing </w:t>
      </w:r>
      <w:r w:rsidRPr="008D6BB7">
        <w:rPr>
          <w:sz w:val="18"/>
          <w:szCs w:val="18"/>
          <w:lang w:val="en-GB"/>
        </w:rPr>
        <w:t>the share owned</w:t>
      </w:r>
      <w:r w:rsidR="00DA2F87">
        <w:rPr>
          <w:sz w:val="18"/>
          <w:szCs w:val="18"/>
          <w:lang w:val="en-GB"/>
        </w:rPr>
        <w:t xml:space="preserve"> over time</w:t>
      </w:r>
      <w:r w:rsidRPr="008D6BB7">
        <w:rPr>
          <w:sz w:val="18"/>
          <w:szCs w:val="18"/>
          <w:lang w:val="en-GB"/>
        </w:rPr>
        <w:t xml:space="preserve">. </w:t>
      </w:r>
    </w:p>
    <w:p w:rsidR="002C2D5C" w:rsidRPr="008D6BB7" w:rsidRDefault="002C2D5C" w:rsidP="002C2D5C">
      <w:pPr>
        <w:pStyle w:val="ListNumber"/>
        <w:spacing w:before="0"/>
        <w:jc w:val="both"/>
        <w:rPr>
          <w:sz w:val="18"/>
          <w:szCs w:val="18"/>
          <w:lang w:val="en-GB"/>
        </w:rPr>
      </w:pPr>
      <w:r w:rsidRPr="008D6BB7">
        <w:rPr>
          <w:sz w:val="18"/>
          <w:szCs w:val="18"/>
          <w:lang w:val="en-GB"/>
        </w:rPr>
        <w:t>In exceptional circumstances (</w:t>
      </w:r>
      <w:r w:rsidR="00FC2544">
        <w:rPr>
          <w:sz w:val="18"/>
          <w:szCs w:val="18"/>
          <w:lang w:val="en-GB"/>
        </w:rPr>
        <w:t xml:space="preserve">for example, </w:t>
      </w:r>
      <w:r w:rsidRPr="008D6BB7">
        <w:rPr>
          <w:sz w:val="18"/>
          <w:szCs w:val="18"/>
          <w:lang w:val="en-GB"/>
        </w:rPr>
        <w:t xml:space="preserve">as a result of financial difficulties, and where the alternative is repossession), and at the discretion of the provider, shared owners may staircase down, thereby reducing the share they own. </w:t>
      </w:r>
      <w:r w:rsidR="00FC2544">
        <w:rPr>
          <w:sz w:val="18"/>
          <w:szCs w:val="18"/>
          <w:lang w:val="en-GB"/>
        </w:rPr>
        <w:t xml:space="preserve">Shared equity is available to </w:t>
      </w:r>
      <w:r w:rsidRPr="008D6BB7">
        <w:rPr>
          <w:sz w:val="18"/>
          <w:szCs w:val="18"/>
          <w:lang w:val="en-GB"/>
        </w:rPr>
        <w:t xml:space="preserve">first-time buyers, people who have owned a home previously and council and housing association tenants with a good credit rating whose </w:t>
      </w:r>
      <w:r w:rsidR="00FC2544">
        <w:rPr>
          <w:sz w:val="18"/>
          <w:szCs w:val="18"/>
          <w:lang w:val="en-GB"/>
        </w:rPr>
        <w:t xml:space="preserve">annual </w:t>
      </w:r>
      <w:r w:rsidRPr="008D6BB7">
        <w:rPr>
          <w:sz w:val="18"/>
          <w:szCs w:val="18"/>
          <w:lang w:val="en-GB"/>
        </w:rPr>
        <w:t>household income does not exceed £</w:t>
      </w:r>
      <w:r w:rsidR="00F33034">
        <w:rPr>
          <w:sz w:val="18"/>
          <w:szCs w:val="18"/>
          <w:lang w:val="en-GB"/>
        </w:rPr>
        <w:t>8</w:t>
      </w:r>
      <w:r w:rsidRPr="008D6BB7">
        <w:rPr>
          <w:sz w:val="18"/>
          <w:szCs w:val="18"/>
          <w:lang w:val="en-GB"/>
        </w:rPr>
        <w:t xml:space="preserve">0,000. </w:t>
      </w:r>
    </w:p>
    <w:p w:rsidR="002C2D5C" w:rsidRPr="008D6BB7" w:rsidRDefault="002C2D5C" w:rsidP="002C2D5C">
      <w:pPr>
        <w:pStyle w:val="ListNumber"/>
        <w:spacing w:before="0"/>
        <w:jc w:val="both"/>
        <w:rPr>
          <w:sz w:val="18"/>
          <w:szCs w:val="18"/>
          <w:lang w:val="en-GB"/>
        </w:rPr>
      </w:pPr>
      <w:r w:rsidRPr="008D6BB7">
        <w:rPr>
          <w:sz w:val="18"/>
          <w:szCs w:val="18"/>
          <w:lang w:val="en-GB"/>
        </w:rPr>
        <w:t xml:space="preserve">To determine the affordability of shared ownership, calculations are based on the lower quartile house price of </w:t>
      </w:r>
      <w:r w:rsidR="00FC2544">
        <w:rPr>
          <w:sz w:val="18"/>
          <w:szCs w:val="18"/>
          <w:lang w:val="en-GB"/>
        </w:rPr>
        <w:t>£</w:t>
      </w:r>
      <w:r w:rsidR="00A55B64">
        <w:rPr>
          <w:color w:val="000000" w:themeColor="text1"/>
          <w:sz w:val="18"/>
          <w:szCs w:val="18"/>
        </w:rPr>
        <w:t>178,750</w:t>
      </w:r>
      <w:r w:rsidRPr="008D6BB7">
        <w:rPr>
          <w:sz w:val="18"/>
          <w:szCs w:val="18"/>
          <w:lang w:val="en-GB"/>
        </w:rPr>
        <w:t>.</w:t>
      </w:r>
      <w:r w:rsidRPr="008D6BB7">
        <w:rPr>
          <w:rStyle w:val="FootnoteReference"/>
          <w:rFonts w:ascii="Arial" w:hAnsi="Arial"/>
          <w:sz w:val="18"/>
          <w:szCs w:val="18"/>
          <w:lang w:val="en-GB"/>
        </w:rPr>
        <w:footnoteReference w:id="30"/>
      </w:r>
      <w:r w:rsidR="00FC2544">
        <w:rPr>
          <w:sz w:val="18"/>
          <w:szCs w:val="18"/>
          <w:lang w:val="en-GB"/>
        </w:rPr>
        <w:t xml:space="preserve"> The </w:t>
      </w:r>
      <w:r w:rsidRPr="008D6BB7">
        <w:rPr>
          <w:sz w:val="18"/>
          <w:szCs w:val="18"/>
          <w:lang w:val="en-GB"/>
        </w:rPr>
        <w:t xml:space="preserve">deposit available to the prospective purchaser is assumed to be 10% of the value of the dwelling, and the standard loan to </w:t>
      </w:r>
      <w:r w:rsidR="00434080">
        <w:rPr>
          <w:sz w:val="18"/>
          <w:szCs w:val="18"/>
          <w:lang w:val="en-GB"/>
        </w:rPr>
        <w:t>incom</w:t>
      </w:r>
      <w:r w:rsidRPr="008D6BB7">
        <w:rPr>
          <w:sz w:val="18"/>
          <w:szCs w:val="18"/>
          <w:lang w:val="en-GB"/>
        </w:rPr>
        <w:t>e ratio of 3.5 is used to calculate the income required to obtain a mortgage. The income required to cover the rental component of the dwelling is based on the assumption that a household spends no more than 25% of the income on rent (as for the income threshold</w:t>
      </w:r>
      <w:r w:rsidR="00D71A01">
        <w:rPr>
          <w:sz w:val="18"/>
          <w:szCs w:val="18"/>
          <w:lang w:val="en-GB"/>
        </w:rPr>
        <w:t xml:space="preserve"> for the private rental sector</w:t>
      </w:r>
      <w:r w:rsidRPr="008D6BB7">
        <w:rPr>
          <w:sz w:val="18"/>
          <w:szCs w:val="18"/>
          <w:lang w:val="en-GB"/>
        </w:rPr>
        <w:t xml:space="preserve">). </w:t>
      </w:r>
    </w:p>
    <w:p w:rsidR="002C2D5C" w:rsidRPr="008D6BB7" w:rsidRDefault="002C2D5C" w:rsidP="002C2D5C">
      <w:pPr>
        <w:pStyle w:val="ListNumber"/>
        <w:spacing w:before="0"/>
        <w:jc w:val="both"/>
        <w:rPr>
          <w:sz w:val="18"/>
          <w:szCs w:val="18"/>
          <w:lang w:val="en-GB"/>
        </w:rPr>
      </w:pPr>
      <w:r w:rsidRPr="008D6BB7">
        <w:rPr>
          <w:sz w:val="18"/>
          <w:szCs w:val="18"/>
          <w:lang w:val="en-GB"/>
        </w:rPr>
        <w:t xml:space="preserve">A 25% equity share of </w:t>
      </w:r>
      <w:r w:rsidR="00D71A01">
        <w:rPr>
          <w:sz w:val="18"/>
          <w:szCs w:val="18"/>
          <w:lang w:val="en-GB"/>
        </w:rPr>
        <w:t>£</w:t>
      </w:r>
      <w:r w:rsidR="00A55B64">
        <w:rPr>
          <w:color w:val="000000" w:themeColor="text1"/>
          <w:sz w:val="18"/>
          <w:szCs w:val="18"/>
        </w:rPr>
        <w:t>178,750</w:t>
      </w:r>
      <w:r w:rsidR="005F54A3" w:rsidRPr="008D6BB7">
        <w:rPr>
          <w:sz w:val="18"/>
          <w:szCs w:val="18"/>
          <w:lang w:val="en-GB"/>
        </w:rPr>
        <w:t xml:space="preserve"> is</w:t>
      </w:r>
      <w:r w:rsidRPr="008D6BB7">
        <w:rPr>
          <w:sz w:val="18"/>
          <w:szCs w:val="18"/>
          <w:lang w:val="en-GB"/>
        </w:rPr>
        <w:t xml:space="preserve"> </w:t>
      </w:r>
      <w:r w:rsidR="00D71A01">
        <w:rPr>
          <w:sz w:val="18"/>
          <w:szCs w:val="18"/>
          <w:lang w:val="en-GB"/>
        </w:rPr>
        <w:t>£</w:t>
      </w:r>
      <w:r w:rsidR="00A55B64">
        <w:rPr>
          <w:color w:val="000000" w:themeColor="text1"/>
          <w:sz w:val="18"/>
          <w:szCs w:val="18"/>
        </w:rPr>
        <w:t>44,688</w:t>
      </w:r>
      <w:r w:rsidRPr="008D6BB7">
        <w:rPr>
          <w:sz w:val="18"/>
          <w:szCs w:val="18"/>
          <w:lang w:val="en-GB"/>
        </w:rPr>
        <w:t xml:space="preserve">, from which a 10% deposit of </w:t>
      </w:r>
      <w:r w:rsidR="00D71A01">
        <w:rPr>
          <w:sz w:val="18"/>
          <w:szCs w:val="18"/>
          <w:lang w:val="en-GB"/>
        </w:rPr>
        <w:t>£</w:t>
      </w:r>
      <w:r w:rsidR="0085299F">
        <w:rPr>
          <w:color w:val="000000" w:themeColor="text1"/>
          <w:sz w:val="18"/>
          <w:szCs w:val="18"/>
        </w:rPr>
        <w:t>3,400</w:t>
      </w:r>
      <w:r w:rsidR="005F54A3" w:rsidRPr="008D6BB7">
        <w:rPr>
          <w:sz w:val="18"/>
          <w:szCs w:val="18"/>
          <w:lang w:val="en-GB"/>
        </w:rPr>
        <w:t xml:space="preserve"> is</w:t>
      </w:r>
      <w:r w:rsidR="00D71A01">
        <w:rPr>
          <w:sz w:val="18"/>
          <w:szCs w:val="18"/>
          <w:lang w:val="en-GB"/>
        </w:rPr>
        <w:t xml:space="preserve"> deducted</w:t>
      </w:r>
      <w:r w:rsidRPr="008D6BB7">
        <w:rPr>
          <w:sz w:val="18"/>
          <w:szCs w:val="18"/>
          <w:lang w:val="en-GB"/>
        </w:rPr>
        <w:t xml:space="preserve">. The mortgage value of </w:t>
      </w:r>
      <w:r w:rsidR="00D71A01">
        <w:rPr>
          <w:sz w:val="18"/>
          <w:szCs w:val="18"/>
          <w:lang w:val="en-GB"/>
        </w:rPr>
        <w:t>£</w:t>
      </w:r>
      <w:r w:rsidR="00A55B64">
        <w:rPr>
          <w:color w:val="000000" w:themeColor="text1"/>
          <w:sz w:val="18"/>
          <w:szCs w:val="18"/>
        </w:rPr>
        <w:t>40,219</w:t>
      </w:r>
      <w:r w:rsidRPr="008D6BB7">
        <w:rPr>
          <w:sz w:val="18"/>
          <w:szCs w:val="18"/>
          <w:lang w:val="en-GB"/>
        </w:rPr>
        <w:t xml:space="preserve"> (</w:t>
      </w:r>
      <w:r w:rsidR="00D71A01">
        <w:rPr>
          <w:sz w:val="18"/>
          <w:szCs w:val="18"/>
          <w:lang w:val="en-GB"/>
        </w:rPr>
        <w:t>£</w:t>
      </w:r>
      <w:r w:rsidR="00A55B64">
        <w:rPr>
          <w:color w:val="000000" w:themeColor="text1"/>
          <w:sz w:val="18"/>
          <w:szCs w:val="18"/>
        </w:rPr>
        <w:t>44,688</w:t>
      </w:r>
      <w:r w:rsidRPr="008D6BB7">
        <w:rPr>
          <w:color w:val="000000" w:themeColor="text1"/>
          <w:sz w:val="18"/>
          <w:szCs w:val="18"/>
        </w:rPr>
        <w:t xml:space="preserve"> </w:t>
      </w:r>
      <w:r w:rsidRPr="008D6BB7">
        <w:rPr>
          <w:sz w:val="18"/>
          <w:szCs w:val="18"/>
          <w:lang w:val="en-GB"/>
        </w:rPr>
        <w:t xml:space="preserve">- </w:t>
      </w:r>
      <w:r w:rsidR="00D71A01">
        <w:rPr>
          <w:sz w:val="18"/>
          <w:szCs w:val="18"/>
          <w:lang w:val="en-GB"/>
        </w:rPr>
        <w:t>£</w:t>
      </w:r>
      <w:r w:rsidR="00A55B64">
        <w:rPr>
          <w:color w:val="000000" w:themeColor="text1"/>
          <w:sz w:val="18"/>
          <w:szCs w:val="18"/>
        </w:rPr>
        <w:t>4,469</w:t>
      </w:r>
      <w:r w:rsidRPr="008D6BB7">
        <w:rPr>
          <w:sz w:val="18"/>
          <w:szCs w:val="18"/>
          <w:lang w:val="en-GB"/>
        </w:rPr>
        <w:t xml:space="preserve">) is then divided by 3.5. To secure a mortgage of </w:t>
      </w:r>
      <w:r w:rsidR="00D71A01">
        <w:rPr>
          <w:sz w:val="18"/>
          <w:szCs w:val="18"/>
          <w:lang w:val="en-GB"/>
        </w:rPr>
        <w:t>£</w:t>
      </w:r>
      <w:r w:rsidR="00D41BC2">
        <w:rPr>
          <w:color w:val="000000" w:themeColor="text1"/>
          <w:sz w:val="18"/>
          <w:szCs w:val="18"/>
        </w:rPr>
        <w:t>40,21</w:t>
      </w:r>
      <w:r w:rsidR="00A92D42">
        <w:rPr>
          <w:color w:val="000000" w:themeColor="text1"/>
          <w:sz w:val="18"/>
          <w:szCs w:val="18"/>
        </w:rPr>
        <w:t>9</w:t>
      </w:r>
      <w:r w:rsidRPr="008D6BB7">
        <w:rPr>
          <w:sz w:val="18"/>
          <w:szCs w:val="18"/>
          <w:lang w:val="en-GB"/>
        </w:rPr>
        <w:t xml:space="preserve">, an annual income of </w:t>
      </w:r>
      <w:r w:rsidR="00D71A01">
        <w:rPr>
          <w:sz w:val="18"/>
          <w:szCs w:val="18"/>
          <w:lang w:val="en-GB"/>
        </w:rPr>
        <w:t>£</w:t>
      </w:r>
      <w:r w:rsidR="0062396A">
        <w:rPr>
          <w:color w:val="000000" w:themeColor="text1"/>
          <w:sz w:val="18"/>
          <w:szCs w:val="18"/>
        </w:rPr>
        <w:t>11,491</w:t>
      </w:r>
      <w:r w:rsidRPr="008D6BB7">
        <w:rPr>
          <w:sz w:val="18"/>
          <w:szCs w:val="18"/>
          <w:lang w:val="en-GB"/>
        </w:rPr>
        <w:t xml:space="preserve"> (</w:t>
      </w:r>
      <w:r w:rsidR="00D71A01">
        <w:rPr>
          <w:sz w:val="18"/>
          <w:szCs w:val="18"/>
          <w:lang w:val="en-GB"/>
        </w:rPr>
        <w:t>£</w:t>
      </w:r>
      <w:r w:rsidR="0062396A">
        <w:rPr>
          <w:sz w:val="18"/>
          <w:szCs w:val="18"/>
          <w:lang w:val="en-GB"/>
        </w:rPr>
        <w:t>40,219</w:t>
      </w:r>
      <w:r w:rsidR="00D71A01">
        <w:rPr>
          <w:sz w:val="18"/>
          <w:szCs w:val="18"/>
          <w:lang w:val="en-GB"/>
        </w:rPr>
        <w:t>/</w:t>
      </w:r>
      <w:r w:rsidRPr="008D6BB7">
        <w:rPr>
          <w:sz w:val="18"/>
          <w:szCs w:val="18"/>
          <w:lang w:val="en-GB"/>
        </w:rPr>
        <w:t>3.5) is there</w:t>
      </w:r>
      <w:r w:rsidR="00D71A01">
        <w:rPr>
          <w:sz w:val="18"/>
          <w:szCs w:val="18"/>
          <w:lang w:val="en-GB"/>
        </w:rPr>
        <w:t xml:space="preserve">fore needed. In addition to </w:t>
      </w:r>
      <w:r w:rsidRPr="008D6BB7">
        <w:rPr>
          <w:sz w:val="18"/>
          <w:szCs w:val="18"/>
          <w:lang w:val="en-GB"/>
        </w:rPr>
        <w:t xml:space="preserve">mortgage costs, rent is charged on the remaining 75% shared ownership equity, </w:t>
      </w:r>
      <w:r w:rsidR="002A6328">
        <w:rPr>
          <w:sz w:val="18"/>
          <w:szCs w:val="18"/>
          <w:lang w:val="en-GB"/>
        </w:rPr>
        <w:t xml:space="preserve">i.e. </w:t>
      </w:r>
      <w:r w:rsidRPr="008D6BB7">
        <w:rPr>
          <w:sz w:val="18"/>
          <w:szCs w:val="18"/>
          <w:lang w:val="en-GB"/>
        </w:rPr>
        <w:t xml:space="preserve">the unsold value of </w:t>
      </w:r>
      <w:r w:rsidR="002A6328">
        <w:rPr>
          <w:sz w:val="18"/>
          <w:szCs w:val="18"/>
          <w:lang w:val="en-GB"/>
        </w:rPr>
        <w:t>£</w:t>
      </w:r>
      <w:r w:rsidR="004F70CD">
        <w:rPr>
          <w:color w:val="000000" w:themeColor="text1"/>
          <w:sz w:val="18"/>
          <w:szCs w:val="18"/>
        </w:rPr>
        <w:t>134,063</w:t>
      </w:r>
      <w:r w:rsidRPr="008D6BB7">
        <w:rPr>
          <w:sz w:val="18"/>
          <w:szCs w:val="18"/>
          <w:lang w:val="en-GB"/>
        </w:rPr>
        <w:t xml:space="preserve">. An ongoing annual rent equivalent to 2.5% of the value of the unsold equity is assumed, which is </w:t>
      </w:r>
      <w:r w:rsidR="002A6328">
        <w:rPr>
          <w:sz w:val="18"/>
          <w:szCs w:val="18"/>
          <w:lang w:val="en-GB"/>
        </w:rPr>
        <w:t>£</w:t>
      </w:r>
      <w:r w:rsidR="004F70CD">
        <w:rPr>
          <w:color w:val="000000" w:themeColor="text1"/>
          <w:sz w:val="18"/>
          <w:szCs w:val="18"/>
        </w:rPr>
        <w:t>3,352</w:t>
      </w:r>
      <w:r w:rsidRPr="008D6BB7">
        <w:rPr>
          <w:sz w:val="18"/>
          <w:szCs w:val="18"/>
          <w:lang w:val="en-GB"/>
        </w:rPr>
        <w:t xml:space="preserve"> and requires an income of </w:t>
      </w:r>
      <w:r w:rsidR="002A6328">
        <w:rPr>
          <w:sz w:val="18"/>
          <w:szCs w:val="18"/>
          <w:lang w:val="en-GB"/>
        </w:rPr>
        <w:t>£</w:t>
      </w:r>
      <w:r w:rsidR="004F70CD">
        <w:rPr>
          <w:color w:val="000000" w:themeColor="text1"/>
          <w:sz w:val="18"/>
          <w:szCs w:val="18"/>
        </w:rPr>
        <w:t>13,406</w:t>
      </w:r>
      <w:r w:rsidR="00CB5041">
        <w:rPr>
          <w:color w:val="000000" w:themeColor="text1"/>
          <w:sz w:val="18"/>
          <w:szCs w:val="18"/>
        </w:rPr>
        <w:t xml:space="preserve"> (multiplied by 4 so that no more than 25% of income is spent on rent)</w:t>
      </w:r>
      <w:r w:rsidRPr="008D6BB7">
        <w:rPr>
          <w:sz w:val="18"/>
          <w:szCs w:val="18"/>
          <w:lang w:val="en-GB"/>
        </w:rPr>
        <w:t xml:space="preserve">. Therefore, an income of around </w:t>
      </w:r>
      <w:r w:rsidR="002A6328">
        <w:rPr>
          <w:sz w:val="18"/>
          <w:szCs w:val="18"/>
          <w:lang w:val="en-GB"/>
        </w:rPr>
        <w:t>£</w:t>
      </w:r>
      <w:r w:rsidR="004B0360" w:rsidRPr="00D508F5">
        <w:rPr>
          <w:color w:val="000000" w:themeColor="text1"/>
          <w:sz w:val="18"/>
          <w:szCs w:val="18"/>
        </w:rPr>
        <w:t>24,897</w:t>
      </w:r>
      <w:r w:rsidRPr="008D6BB7">
        <w:rPr>
          <w:b/>
          <w:sz w:val="18"/>
          <w:szCs w:val="18"/>
          <w:lang w:val="en-GB"/>
        </w:rPr>
        <w:t xml:space="preserve"> </w:t>
      </w:r>
      <w:r w:rsidRPr="008D6BB7">
        <w:rPr>
          <w:sz w:val="18"/>
          <w:szCs w:val="18"/>
          <w:lang w:val="en-GB"/>
        </w:rPr>
        <w:t>(</w:t>
      </w:r>
      <w:r w:rsidR="002A6328">
        <w:rPr>
          <w:sz w:val="18"/>
          <w:szCs w:val="18"/>
          <w:lang w:val="en-GB"/>
        </w:rPr>
        <w:t>£</w:t>
      </w:r>
      <w:r w:rsidR="004B0360">
        <w:rPr>
          <w:color w:val="000000" w:themeColor="text1"/>
          <w:sz w:val="18"/>
          <w:szCs w:val="18"/>
        </w:rPr>
        <w:t>11,491</w:t>
      </w:r>
      <w:r w:rsidRPr="008D6BB7">
        <w:rPr>
          <w:sz w:val="18"/>
          <w:szCs w:val="18"/>
          <w:lang w:val="en-GB"/>
        </w:rPr>
        <w:t xml:space="preserve"> + </w:t>
      </w:r>
      <w:r w:rsidR="002A6328">
        <w:rPr>
          <w:sz w:val="18"/>
          <w:szCs w:val="18"/>
          <w:lang w:val="en-GB"/>
        </w:rPr>
        <w:t>£</w:t>
      </w:r>
      <w:r w:rsidR="004B0360">
        <w:rPr>
          <w:color w:val="000000" w:themeColor="text1"/>
          <w:sz w:val="18"/>
          <w:szCs w:val="18"/>
        </w:rPr>
        <w:t>13,406</w:t>
      </w:r>
      <w:r w:rsidRPr="008D6BB7">
        <w:rPr>
          <w:sz w:val="18"/>
          <w:szCs w:val="18"/>
          <w:lang w:val="en-GB"/>
        </w:rPr>
        <w:t xml:space="preserve">) is required to afford a 25% shared equity purchase of an entry-level </w:t>
      </w:r>
      <w:r w:rsidR="00CB5041">
        <w:rPr>
          <w:sz w:val="18"/>
          <w:szCs w:val="18"/>
          <w:lang w:val="en-GB"/>
        </w:rPr>
        <w:t>home</w:t>
      </w:r>
      <w:r w:rsidRPr="008D6BB7">
        <w:rPr>
          <w:sz w:val="18"/>
          <w:szCs w:val="18"/>
          <w:lang w:val="en-GB"/>
        </w:rPr>
        <w:t>.</w:t>
      </w:r>
    </w:p>
    <w:p w:rsidR="0011536F" w:rsidRDefault="00CD705B" w:rsidP="0011536F">
      <w:pPr>
        <w:pStyle w:val="ListNumber"/>
        <w:numPr>
          <w:ilvl w:val="0"/>
          <w:numId w:val="0"/>
        </w:numPr>
        <w:spacing w:before="0"/>
        <w:ind w:left="425" w:hanging="425"/>
        <w:jc w:val="both"/>
        <w:rPr>
          <w:sz w:val="18"/>
          <w:szCs w:val="18"/>
          <w:lang w:val="en-GB"/>
        </w:rPr>
      </w:pPr>
      <w:r>
        <w:rPr>
          <w:sz w:val="18"/>
          <w:szCs w:val="18"/>
          <w:lang w:val="en-GB"/>
        </w:rPr>
        <w:t xml:space="preserve">The same calculations have been undertaken for 50% and 75% equity share. The results are </w:t>
      </w:r>
      <w:r w:rsidR="00D508F5">
        <w:rPr>
          <w:sz w:val="18"/>
          <w:szCs w:val="18"/>
          <w:lang w:val="en-GB"/>
        </w:rPr>
        <w:t>£31,920</w:t>
      </w:r>
      <w:r>
        <w:rPr>
          <w:sz w:val="18"/>
          <w:szCs w:val="18"/>
          <w:lang w:val="en-GB"/>
        </w:rPr>
        <w:t xml:space="preserve"> and </w:t>
      </w:r>
      <w:r w:rsidR="00D508F5">
        <w:rPr>
          <w:sz w:val="18"/>
          <w:szCs w:val="18"/>
          <w:lang w:val="en-GB"/>
        </w:rPr>
        <w:t>£38,942</w:t>
      </w:r>
      <w:r>
        <w:rPr>
          <w:sz w:val="18"/>
          <w:szCs w:val="18"/>
          <w:lang w:val="en-GB"/>
        </w:rPr>
        <w:t xml:space="preserve"> respectively. </w:t>
      </w:r>
    </w:p>
    <w:p w:rsidR="00BA41FF" w:rsidRDefault="00BA41FF">
      <w:pPr>
        <w:spacing w:before="0" w:after="0" w:line="240" w:lineRule="auto"/>
        <w:rPr>
          <w:sz w:val="18"/>
          <w:szCs w:val="18"/>
        </w:rPr>
      </w:pPr>
      <w:r>
        <w:rPr>
          <w:sz w:val="18"/>
          <w:szCs w:val="18"/>
        </w:rPr>
        <w:br w:type="page"/>
      </w:r>
    </w:p>
    <w:p w:rsidR="002C2D5C" w:rsidRDefault="002C2D5C" w:rsidP="002C2D5C">
      <w:pPr>
        <w:pStyle w:val="Appendix"/>
        <w:jc w:val="both"/>
      </w:pPr>
      <w:bookmarkStart w:id="184" w:name="_Ref4056142"/>
      <w:bookmarkStart w:id="185" w:name="_Ref4056155"/>
      <w:bookmarkStart w:id="186" w:name="_Toc33015884"/>
      <w:r>
        <w:lastRenderedPageBreak/>
        <w:t>: Housing Needs Assessment Glossary</w:t>
      </w:r>
      <w:bookmarkEnd w:id="184"/>
      <w:bookmarkEnd w:id="185"/>
      <w:bookmarkEnd w:id="186"/>
    </w:p>
    <w:p w:rsidR="00AC41F0" w:rsidRPr="00A50BD6" w:rsidRDefault="00AC41F0" w:rsidP="00AC41F0">
      <w:pPr>
        <w:pStyle w:val="BodyText"/>
        <w:jc w:val="both"/>
        <w:rPr>
          <w:b/>
          <w:sz w:val="18"/>
          <w:szCs w:val="18"/>
        </w:rPr>
      </w:pPr>
      <w:r w:rsidRPr="00A50BD6">
        <w:rPr>
          <w:b/>
          <w:sz w:val="18"/>
          <w:szCs w:val="18"/>
        </w:rPr>
        <w:t>Adoption</w:t>
      </w:r>
    </w:p>
    <w:p w:rsidR="00AC41F0" w:rsidRPr="00A50BD6" w:rsidRDefault="00AC41F0" w:rsidP="00AC41F0">
      <w:pPr>
        <w:pStyle w:val="BodyText"/>
        <w:jc w:val="both"/>
        <w:rPr>
          <w:sz w:val="18"/>
          <w:szCs w:val="18"/>
        </w:rPr>
      </w:pPr>
      <w:r w:rsidRPr="00A50BD6">
        <w:rPr>
          <w:sz w:val="18"/>
          <w:szCs w:val="18"/>
        </w:rPr>
        <w:t>This refers to the final confirmation of a local plan by a local planning authority.</w:t>
      </w:r>
    </w:p>
    <w:p w:rsidR="00AC41F0" w:rsidRPr="00A50BD6" w:rsidRDefault="00AC41F0" w:rsidP="00AC41F0">
      <w:pPr>
        <w:pStyle w:val="BodyText"/>
        <w:jc w:val="both"/>
        <w:rPr>
          <w:b/>
          <w:sz w:val="18"/>
          <w:szCs w:val="18"/>
        </w:rPr>
      </w:pPr>
      <w:r w:rsidRPr="00A50BD6">
        <w:rPr>
          <w:b/>
          <w:sz w:val="18"/>
          <w:szCs w:val="18"/>
        </w:rPr>
        <w:t>Affordability</w:t>
      </w:r>
    </w:p>
    <w:p w:rsidR="00AC41F0" w:rsidRPr="00A50BD6" w:rsidRDefault="00AC41F0" w:rsidP="00AC41F0">
      <w:pPr>
        <w:pStyle w:val="BodyText"/>
        <w:jc w:val="both"/>
        <w:rPr>
          <w:sz w:val="18"/>
          <w:szCs w:val="18"/>
        </w:rPr>
      </w:pPr>
      <w:r w:rsidRPr="00A50BD6">
        <w:rPr>
          <w:sz w:val="18"/>
          <w:szCs w:val="18"/>
        </w:rPr>
        <w:t xml:space="preserve">The terms ‘affordability’ and ‘affordable housing’ have different meanings. ‘Affordability’ is a measure of whether housing may be afforded by certain groups of households. ‘Affordable housing’ refers to particular products outside the main housing market. </w:t>
      </w:r>
    </w:p>
    <w:p w:rsidR="00AC41F0" w:rsidRPr="00A50BD6" w:rsidRDefault="00AC41F0" w:rsidP="00AC41F0">
      <w:pPr>
        <w:pStyle w:val="BodyText"/>
        <w:jc w:val="both"/>
        <w:rPr>
          <w:b/>
          <w:color w:val="4A4A49"/>
          <w:sz w:val="18"/>
          <w:szCs w:val="18"/>
        </w:rPr>
      </w:pPr>
      <w:r w:rsidRPr="00A50BD6">
        <w:rPr>
          <w:b/>
          <w:sz w:val="18"/>
          <w:szCs w:val="18"/>
        </w:rPr>
        <w:t>Affordability Ratio</w:t>
      </w:r>
    </w:p>
    <w:p w:rsidR="00AC41F0" w:rsidRPr="00A50BD6" w:rsidRDefault="00AC41F0" w:rsidP="00AC41F0">
      <w:pPr>
        <w:pStyle w:val="BodyText"/>
        <w:jc w:val="both"/>
        <w:rPr>
          <w:sz w:val="18"/>
          <w:szCs w:val="18"/>
        </w:rPr>
      </w:pPr>
      <w:r w:rsidRPr="00A50BD6">
        <w:rPr>
          <w:sz w:val="18"/>
          <w:szCs w:val="18"/>
        </w:rPr>
        <w:t>Assessing affordability involves comparing hous</w:t>
      </w:r>
      <w:r w:rsidR="0084044B">
        <w:rPr>
          <w:sz w:val="18"/>
          <w:szCs w:val="18"/>
        </w:rPr>
        <w:t>ing</w:t>
      </w:r>
      <w:r w:rsidRPr="00A50BD6">
        <w:rPr>
          <w:sz w:val="18"/>
          <w:szCs w:val="18"/>
        </w:rPr>
        <w:t xml:space="preserve"> costs against the ability to pay. The ratio between lower quartile house prices and the lower quartile income or earnings can be used to assess the relative affordability of housing. The Ministry for Housing, Community and Local Governments publishes quarterly the ratio of lower quartile house price to lower quartile earnings by local authority (LQAR) as well as median house price to median earnings by local authority (MAR) e.g. income = £25,000, house price = £200,000.   House price: income ratio = £200,000/£25,000 = 8, (the house price is 8 times income).</w:t>
      </w:r>
    </w:p>
    <w:p w:rsidR="00AC41F0" w:rsidRPr="00A50BD6" w:rsidRDefault="00AC41F0" w:rsidP="00AC41F0">
      <w:pPr>
        <w:pStyle w:val="BodyText"/>
        <w:jc w:val="both"/>
        <w:rPr>
          <w:b/>
          <w:sz w:val="18"/>
          <w:szCs w:val="18"/>
        </w:rPr>
      </w:pPr>
      <w:r w:rsidRPr="00A50BD6">
        <w:rPr>
          <w:b/>
          <w:sz w:val="18"/>
          <w:szCs w:val="18"/>
        </w:rPr>
        <w:t>Affordable Housing (NPPF Definition)</w:t>
      </w:r>
    </w:p>
    <w:p w:rsidR="00AC41F0" w:rsidRPr="0051362C" w:rsidRDefault="00AC41F0" w:rsidP="00AC41F0">
      <w:pPr>
        <w:spacing w:after="180"/>
        <w:jc w:val="both"/>
        <w:rPr>
          <w:sz w:val="18"/>
          <w:szCs w:val="18"/>
        </w:rPr>
      </w:pPr>
      <w:r w:rsidRPr="0051362C">
        <w:rPr>
          <w:sz w:val="18"/>
          <w:szCs w:val="18"/>
        </w:rPr>
        <w:t>Housing for sale or rent, for those whose needs are not met by the market (including housing that provides a subsidised route to home ownership and/or is for essential local workers); and which complies with one or more of the following definitions:</w:t>
      </w:r>
    </w:p>
    <w:p w:rsidR="00AC41F0" w:rsidRPr="0051362C" w:rsidRDefault="00AC41F0" w:rsidP="00AC41F0">
      <w:pPr>
        <w:spacing w:after="180"/>
        <w:jc w:val="both"/>
        <w:rPr>
          <w:sz w:val="18"/>
          <w:szCs w:val="18"/>
        </w:rPr>
      </w:pPr>
      <w:r w:rsidRPr="0051362C">
        <w:rPr>
          <w:sz w:val="18"/>
          <w:szCs w:val="18"/>
        </w:rPr>
        <w:t>a) Affordable housing for rent: meets all of the following conditions: (a) the rent is set in accordance with the Government’s rent policy for Social Rent or Affordable Rent, or is at least 20% below local market rents (including service charges where applicable); (b) the landlord is a registered provider, except where it is included as part of a Build to Rent scheme (in which case the landlord need not be a registered provider); and (c) it includes provisions to remain at an affordable price for future eligible households, or for the subsidy to be recycled for alternative affordable housing provision. For Build to Rent schemes affordable housing for rent is expected to be the normal form of affordable housing provision (and, in this context, is known as Affordable Private Rent).</w:t>
      </w:r>
    </w:p>
    <w:p w:rsidR="00AC41F0" w:rsidRPr="0051362C" w:rsidRDefault="00A96845" w:rsidP="00AC41F0">
      <w:pPr>
        <w:spacing w:after="180"/>
        <w:jc w:val="both"/>
        <w:rPr>
          <w:sz w:val="18"/>
          <w:szCs w:val="18"/>
        </w:rPr>
      </w:pPr>
      <w:r>
        <w:rPr>
          <w:sz w:val="18"/>
          <w:szCs w:val="18"/>
        </w:rPr>
        <w:t>b</w:t>
      </w:r>
      <w:r w:rsidR="00AC41F0" w:rsidRPr="0051362C">
        <w:rPr>
          <w:sz w:val="18"/>
          <w:szCs w:val="18"/>
        </w:rPr>
        <w:t>) Discounted market sales housing: is that sold at a discount of at least 20% below local market value. Eligibility is determined with regard to local incomes and local house prices. Provisions should be in place to ensure housing remains at a discount for future eligible households.</w:t>
      </w:r>
    </w:p>
    <w:p w:rsidR="00AC41F0" w:rsidRPr="0051362C" w:rsidRDefault="00A96845" w:rsidP="00AC41F0">
      <w:pPr>
        <w:spacing w:after="180"/>
        <w:jc w:val="both"/>
        <w:rPr>
          <w:sz w:val="18"/>
          <w:szCs w:val="18"/>
        </w:rPr>
      </w:pPr>
      <w:r>
        <w:rPr>
          <w:sz w:val="18"/>
          <w:szCs w:val="18"/>
        </w:rPr>
        <w:t>c</w:t>
      </w:r>
      <w:r w:rsidR="00AC41F0" w:rsidRPr="0051362C">
        <w:rPr>
          <w:sz w:val="18"/>
          <w:szCs w:val="18"/>
        </w:rPr>
        <w:t>) Other affordable routes to home ownership: is housing provided for sale that provides a route to ownership for those who could not achieve home ownership through the market. It includes shared ownership, r</w:t>
      </w:r>
      <w:r w:rsidR="00AC41F0">
        <w:rPr>
          <w:sz w:val="18"/>
          <w:szCs w:val="18"/>
        </w:rPr>
        <w:t>elevant equity loans, other low-</w:t>
      </w:r>
      <w:r w:rsidR="00AC41F0" w:rsidRPr="0051362C">
        <w:rPr>
          <w:sz w:val="18"/>
          <w:szCs w:val="18"/>
        </w:rPr>
        <w:t>cost homes for sale (at a price equivalent to at least 20% below local market value) and rent to buy (which includes a period of intermediate rent). Where public grant funding is provided, there should be provisions for the homes to remain at an affordable price for future eligible households, or for any receipts to be recycled for alternative affordable housing provision, or refunded to Government or the relevant authority specified in the funding agreement.</w:t>
      </w:r>
    </w:p>
    <w:p w:rsidR="00AC41F0" w:rsidRPr="00A50BD6" w:rsidRDefault="00AC41F0" w:rsidP="00AC41F0">
      <w:pPr>
        <w:pStyle w:val="BodyText"/>
        <w:jc w:val="both"/>
        <w:rPr>
          <w:b/>
          <w:sz w:val="18"/>
          <w:szCs w:val="18"/>
        </w:rPr>
      </w:pPr>
      <w:r w:rsidRPr="00A50BD6">
        <w:rPr>
          <w:b/>
          <w:sz w:val="18"/>
          <w:szCs w:val="18"/>
        </w:rPr>
        <w:t>Affordable rented housing</w:t>
      </w:r>
    </w:p>
    <w:p w:rsidR="00AC41F0" w:rsidRPr="00A50BD6" w:rsidRDefault="00AC41F0" w:rsidP="00AC41F0">
      <w:pPr>
        <w:pStyle w:val="BodyText"/>
        <w:jc w:val="both"/>
        <w:rPr>
          <w:sz w:val="18"/>
          <w:szCs w:val="18"/>
        </w:rPr>
      </w:pPr>
      <w:r w:rsidRPr="00A50BD6">
        <w:rPr>
          <w:sz w:val="18"/>
          <w:szCs w:val="18"/>
        </w:rPr>
        <w:t>Rented housing let by registered providers of social housing to households who are eligible for social rented housing. Affordable Rent is not subject to the national rent regime but is subject to other rent controls that require a rent of no more than</w:t>
      </w:r>
      <w:r>
        <w:rPr>
          <w:sz w:val="18"/>
          <w:szCs w:val="18"/>
        </w:rPr>
        <w:t xml:space="preserve"> 80% of the local market rent (i</w:t>
      </w:r>
      <w:r w:rsidRPr="00A50BD6">
        <w:rPr>
          <w:sz w:val="18"/>
          <w:szCs w:val="18"/>
        </w:rPr>
        <w:t>ncluding service charges, where applicable). The national rent regime is the regime under which the social rents of tenants of social housing are set, with particular reference to the Guide to Social Rent Reforms (March 2001) and the Rent Influencing Regime Guidance (October 2001). Local market rents are calculated using the Royal Institution for Chartered Surveyors (RICS) approved valuation methods</w:t>
      </w:r>
      <w:r w:rsidRPr="00A50BD6">
        <w:rPr>
          <w:rStyle w:val="FootnoteReference"/>
          <w:sz w:val="18"/>
          <w:szCs w:val="18"/>
        </w:rPr>
        <w:footnoteReference w:id="31"/>
      </w:r>
      <w:r w:rsidRPr="00A50BD6">
        <w:rPr>
          <w:sz w:val="18"/>
          <w:szCs w:val="18"/>
        </w:rPr>
        <w:t xml:space="preserve">. </w:t>
      </w:r>
    </w:p>
    <w:p w:rsidR="00AC41F0" w:rsidRDefault="00AC41F0" w:rsidP="00AC41F0">
      <w:pPr>
        <w:pStyle w:val="BodyText"/>
        <w:jc w:val="both"/>
        <w:rPr>
          <w:b/>
          <w:sz w:val="18"/>
          <w:szCs w:val="18"/>
        </w:rPr>
      </w:pPr>
      <w:r w:rsidRPr="00047BE3">
        <w:rPr>
          <w:b/>
          <w:sz w:val="18"/>
          <w:szCs w:val="18"/>
        </w:rPr>
        <w:t>Age-Restricted General Market Housin</w:t>
      </w:r>
      <w:r>
        <w:rPr>
          <w:b/>
          <w:sz w:val="18"/>
          <w:szCs w:val="18"/>
        </w:rPr>
        <w:t>g</w:t>
      </w:r>
    </w:p>
    <w:p w:rsidR="00AC41F0" w:rsidRPr="00047BE3" w:rsidRDefault="00AC41F0" w:rsidP="00AC41F0">
      <w:pPr>
        <w:pStyle w:val="BodyText"/>
        <w:jc w:val="both"/>
        <w:rPr>
          <w:sz w:val="18"/>
          <w:szCs w:val="18"/>
        </w:rPr>
      </w:pPr>
      <w:r>
        <w:rPr>
          <w:sz w:val="18"/>
          <w:szCs w:val="18"/>
        </w:rPr>
        <w:lastRenderedPageBreak/>
        <w:t>A</w:t>
      </w:r>
      <w:r w:rsidRPr="00047BE3">
        <w:rPr>
          <w:sz w:val="18"/>
          <w:szCs w:val="18"/>
        </w:rPr>
        <w:t xml:space="preserve"> type of housing </w:t>
      </w:r>
      <w:r w:rsidR="0084044B">
        <w:rPr>
          <w:sz w:val="18"/>
          <w:szCs w:val="18"/>
        </w:rPr>
        <w:t xml:space="preserve">which </w:t>
      </w:r>
      <w:r w:rsidRPr="00047BE3">
        <w:rPr>
          <w:sz w:val="18"/>
          <w:szCs w:val="18"/>
        </w:rPr>
        <w:t>is generally for people aged 55 and over and the active elderly. It may include some shared amenities such as communal gardens but does not include support or care services.</w:t>
      </w:r>
    </w:p>
    <w:p w:rsidR="00AC41F0" w:rsidRPr="00A50BD6" w:rsidRDefault="00AC41F0" w:rsidP="00AC41F0">
      <w:pPr>
        <w:pStyle w:val="BodyText"/>
        <w:jc w:val="both"/>
        <w:rPr>
          <w:b/>
          <w:sz w:val="18"/>
          <w:szCs w:val="18"/>
        </w:rPr>
      </w:pPr>
      <w:r w:rsidRPr="00A50BD6">
        <w:rPr>
          <w:b/>
          <w:sz w:val="18"/>
          <w:szCs w:val="18"/>
        </w:rPr>
        <w:t>Annual Monitoring Report</w:t>
      </w:r>
    </w:p>
    <w:p w:rsidR="00AC41F0" w:rsidRPr="00A50BD6" w:rsidRDefault="00AC41F0" w:rsidP="00AC41F0">
      <w:pPr>
        <w:pStyle w:val="BodyText"/>
        <w:jc w:val="both"/>
        <w:rPr>
          <w:sz w:val="18"/>
          <w:szCs w:val="18"/>
        </w:rPr>
      </w:pPr>
      <w:r w:rsidRPr="00A50BD6">
        <w:rPr>
          <w:sz w:val="18"/>
          <w:szCs w:val="18"/>
        </w:rPr>
        <w:t>A report submitted to the Government by local planning authorities assessing progress with and the effectiveness of a Local Development Framework.</w:t>
      </w:r>
    </w:p>
    <w:p w:rsidR="00AC41F0" w:rsidRPr="00A50BD6" w:rsidRDefault="00AC41F0" w:rsidP="00AC41F0">
      <w:pPr>
        <w:pStyle w:val="BodyText"/>
        <w:jc w:val="both"/>
        <w:rPr>
          <w:b/>
          <w:sz w:val="18"/>
          <w:szCs w:val="18"/>
        </w:rPr>
      </w:pPr>
      <w:r w:rsidRPr="00A50BD6">
        <w:rPr>
          <w:b/>
          <w:sz w:val="18"/>
          <w:szCs w:val="18"/>
        </w:rPr>
        <w:t xml:space="preserve">Basic Conditions </w:t>
      </w:r>
    </w:p>
    <w:p w:rsidR="00AC41F0" w:rsidRPr="00A50BD6" w:rsidRDefault="00AC41F0" w:rsidP="00AC41F0">
      <w:pPr>
        <w:pStyle w:val="BodyText"/>
        <w:jc w:val="both"/>
        <w:rPr>
          <w:sz w:val="18"/>
          <w:szCs w:val="18"/>
        </w:rPr>
      </w:pPr>
      <w:r w:rsidRPr="008D49A0">
        <w:rPr>
          <w:sz w:val="18"/>
          <w:szCs w:val="18"/>
        </w:rPr>
        <w:t>The Basic Conditions are the legal tests that are considered at the examination stage of neighbourhood development plans. They need to be met before a plan can progress to referendum</w:t>
      </w:r>
      <w:r w:rsidRPr="00A50BD6">
        <w:rPr>
          <w:sz w:val="18"/>
          <w:szCs w:val="18"/>
        </w:rPr>
        <w:t xml:space="preserve">. </w:t>
      </w:r>
    </w:p>
    <w:p w:rsidR="00AC41F0" w:rsidRPr="00A50BD6" w:rsidRDefault="00AC41F0" w:rsidP="00AC41F0">
      <w:pPr>
        <w:jc w:val="both"/>
        <w:rPr>
          <w:b/>
          <w:sz w:val="18"/>
          <w:szCs w:val="18"/>
        </w:rPr>
      </w:pPr>
      <w:r w:rsidRPr="00A50BD6">
        <w:rPr>
          <w:b/>
          <w:sz w:val="18"/>
          <w:szCs w:val="18"/>
        </w:rPr>
        <w:t>Backlog need</w:t>
      </w:r>
    </w:p>
    <w:p w:rsidR="00AC41F0" w:rsidRPr="00A50BD6" w:rsidRDefault="00AC41F0" w:rsidP="00AC41F0">
      <w:pPr>
        <w:pStyle w:val="BodyText"/>
        <w:jc w:val="both"/>
        <w:rPr>
          <w:sz w:val="18"/>
          <w:szCs w:val="18"/>
        </w:rPr>
      </w:pPr>
      <w:r w:rsidRPr="00A50BD6">
        <w:rPr>
          <w:sz w:val="18"/>
          <w:szCs w:val="18"/>
        </w:rPr>
        <w:t xml:space="preserve">The backlog need constitutes those households who are eligible for Affordable Housing, on account of homelessness, over-crowding, concealment or affordability, but who are yet to be offered a home suited to their needs. </w:t>
      </w:r>
    </w:p>
    <w:p w:rsidR="00AC41F0" w:rsidRPr="00A50BD6" w:rsidRDefault="00AC41F0" w:rsidP="00AC41F0">
      <w:pPr>
        <w:jc w:val="both"/>
        <w:rPr>
          <w:sz w:val="18"/>
          <w:szCs w:val="18"/>
        </w:rPr>
      </w:pPr>
      <w:r w:rsidRPr="00A50BD6">
        <w:rPr>
          <w:b/>
          <w:sz w:val="18"/>
          <w:szCs w:val="18"/>
        </w:rPr>
        <w:t>Bedroom Standard</w:t>
      </w:r>
      <w:r w:rsidRPr="00A50BD6">
        <w:rPr>
          <w:rStyle w:val="FootnoteReference"/>
          <w:b/>
          <w:sz w:val="18"/>
          <w:szCs w:val="18"/>
        </w:rPr>
        <w:footnoteReference w:id="32"/>
      </w:r>
    </w:p>
    <w:p w:rsidR="00AC41F0" w:rsidRDefault="00AC41F0" w:rsidP="00AC41F0">
      <w:pPr>
        <w:pStyle w:val="BodyText"/>
        <w:jc w:val="both"/>
        <w:rPr>
          <w:sz w:val="18"/>
          <w:szCs w:val="18"/>
        </w:rPr>
      </w:pPr>
      <w:r w:rsidRPr="00A50BD6">
        <w:rPr>
          <w:sz w:val="18"/>
          <w:szCs w:val="18"/>
        </w:rPr>
        <w:t>The bedroom standard is a measure of occupancy (whether a property is overcrowded or under</w:t>
      </w:r>
      <w:r w:rsidRPr="00A50BD6">
        <w:rPr>
          <w:rFonts w:ascii="Cambria Math" w:hAnsi="Cambria Math" w:cs="Cambria Math"/>
          <w:sz w:val="18"/>
          <w:szCs w:val="18"/>
        </w:rPr>
        <w:t>‐</w:t>
      </w:r>
      <w:r w:rsidRPr="00A50BD6">
        <w:rPr>
          <w:sz w:val="18"/>
          <w:szCs w:val="18"/>
        </w:rPr>
        <w:t>occupied, based on the number of bedrooms in a property and the type of household in residence). The Census overcrowding data is based on occupancy rating (overcrowding by number of rooms not including bathrooms and hallways). This tends to produce higher levels of overcrowding/ under occupation. A detailed definition of the standard is given in the Glossary of the EHS Household Report.</w:t>
      </w:r>
    </w:p>
    <w:p w:rsidR="00AC41F0" w:rsidRPr="00A50BD6" w:rsidRDefault="00AC41F0" w:rsidP="00AC41F0">
      <w:pPr>
        <w:pStyle w:val="BodyText"/>
        <w:jc w:val="both"/>
        <w:rPr>
          <w:b/>
          <w:sz w:val="18"/>
          <w:szCs w:val="18"/>
        </w:rPr>
      </w:pPr>
      <w:r w:rsidRPr="00A50BD6">
        <w:rPr>
          <w:b/>
          <w:sz w:val="18"/>
          <w:szCs w:val="18"/>
        </w:rPr>
        <w:t>Co-living</w:t>
      </w:r>
    </w:p>
    <w:p w:rsidR="00AC41F0" w:rsidRPr="00A50BD6" w:rsidRDefault="00AC41F0" w:rsidP="00AC41F0">
      <w:pPr>
        <w:pStyle w:val="BodyText"/>
        <w:jc w:val="both"/>
        <w:rPr>
          <w:sz w:val="18"/>
          <w:szCs w:val="18"/>
        </w:rPr>
      </w:pPr>
      <w:r w:rsidRPr="00A50BD6">
        <w:rPr>
          <w:sz w:val="18"/>
          <w:szCs w:val="18"/>
        </w:rPr>
        <w:t>Co-living denotes people who do not have family ties sharing either a self-contained dwelling (i.e., a 'house share') or new develop</w:t>
      </w:r>
      <w:bookmarkStart w:id="187" w:name="_GoBack"/>
      <w:bookmarkEnd w:id="187"/>
      <w:r w:rsidRPr="00A50BD6">
        <w:rPr>
          <w:sz w:val="18"/>
          <w:szCs w:val="18"/>
        </w:rPr>
        <w:t>ment akin to student housing in which people have a bedroom and bathroom to themselves, but share living and kitchen space with others. In co-living schemes each individual represents a separate 'household'.</w:t>
      </w:r>
    </w:p>
    <w:p w:rsidR="00AC41F0" w:rsidRPr="00A50BD6" w:rsidRDefault="00AC41F0" w:rsidP="00AC41F0">
      <w:pPr>
        <w:pStyle w:val="BodyText"/>
        <w:jc w:val="both"/>
        <w:rPr>
          <w:b/>
          <w:sz w:val="18"/>
          <w:szCs w:val="18"/>
        </w:rPr>
      </w:pPr>
      <w:r w:rsidRPr="00A50BD6">
        <w:rPr>
          <w:b/>
          <w:sz w:val="18"/>
          <w:szCs w:val="18"/>
        </w:rPr>
        <w:t>Community Led Housing/Community Land Trusts</w:t>
      </w:r>
    </w:p>
    <w:p w:rsidR="00AC41F0" w:rsidRPr="00A50BD6" w:rsidRDefault="00AC41F0" w:rsidP="00AC41F0">
      <w:pPr>
        <w:pStyle w:val="BodyText"/>
        <w:jc w:val="both"/>
        <w:rPr>
          <w:sz w:val="18"/>
          <w:szCs w:val="18"/>
        </w:rPr>
      </w:pPr>
      <w:r w:rsidRPr="00A50BD6">
        <w:rPr>
          <w:sz w:val="18"/>
          <w:szCs w:val="18"/>
        </w:rPr>
        <w:t>Housing development, provision and management that is led by the community is very often driven by a need to secure affordable housing for local people in the belief that housing that comes through the planning system may be neither the right tenure or price-point to be attractive or affordable to local people. The principle forms of community-led models include cooperatives, co-housing communities, self-help housing, community self-build housing, collective custom-build housing, and community land trusts. By bringing forward development which is owned by the community, the community is able to set rents and/or mortgage payments at a rate that it feels is appropriate. The Government has a range of support programmes for people interested in bringing forward community led housing.</w:t>
      </w:r>
    </w:p>
    <w:p w:rsidR="00AC41F0" w:rsidRPr="00A50BD6" w:rsidRDefault="00AC41F0" w:rsidP="00AC41F0">
      <w:pPr>
        <w:pStyle w:val="BodyText"/>
        <w:jc w:val="both"/>
        <w:rPr>
          <w:b/>
          <w:sz w:val="18"/>
          <w:szCs w:val="18"/>
        </w:rPr>
      </w:pPr>
      <w:r w:rsidRPr="00A50BD6">
        <w:rPr>
          <w:b/>
          <w:sz w:val="18"/>
          <w:szCs w:val="18"/>
        </w:rPr>
        <w:t>Community Right to Build Order</w:t>
      </w:r>
      <w:r w:rsidRPr="00A50BD6">
        <w:rPr>
          <w:rStyle w:val="FootnoteReference"/>
          <w:b/>
          <w:sz w:val="18"/>
          <w:szCs w:val="18"/>
        </w:rPr>
        <w:footnoteReference w:id="33"/>
      </w:r>
    </w:p>
    <w:p w:rsidR="00AC41F0" w:rsidRDefault="00AC41F0" w:rsidP="00AC41F0">
      <w:pPr>
        <w:pStyle w:val="BodyText"/>
        <w:jc w:val="both"/>
        <w:rPr>
          <w:sz w:val="18"/>
          <w:szCs w:val="18"/>
        </w:rPr>
      </w:pPr>
      <w:r w:rsidRPr="00233004">
        <w:rPr>
          <w:sz w:val="18"/>
          <w:szCs w:val="18"/>
        </w:rPr>
        <w:t>A community right to build order is a special kind of neighbourhood development order, grantin</w:t>
      </w:r>
      <w:r>
        <w:rPr>
          <w:sz w:val="18"/>
          <w:szCs w:val="18"/>
        </w:rPr>
        <w:t>g planning permission for small</w:t>
      </w:r>
      <w:r w:rsidRPr="00233004">
        <w:rPr>
          <w:sz w:val="18"/>
          <w:szCs w:val="18"/>
        </w:rPr>
        <w:t xml:space="preserve"> community development schemes, such as housing or new community facilities. Local community organisations that meet certain requirements or parish/town councils are able to prepare community right to build orders</w:t>
      </w:r>
      <w:r>
        <w:rPr>
          <w:sz w:val="18"/>
          <w:szCs w:val="18"/>
        </w:rPr>
        <w:t>.</w:t>
      </w:r>
    </w:p>
    <w:p w:rsidR="00AC41F0" w:rsidRPr="00A50BD6" w:rsidRDefault="00AC41F0" w:rsidP="00AC41F0">
      <w:pPr>
        <w:pStyle w:val="BodyText"/>
        <w:jc w:val="both"/>
        <w:rPr>
          <w:b/>
          <w:sz w:val="18"/>
          <w:szCs w:val="18"/>
        </w:rPr>
      </w:pPr>
      <w:r w:rsidRPr="00A50BD6">
        <w:rPr>
          <w:b/>
          <w:sz w:val="18"/>
          <w:szCs w:val="18"/>
        </w:rPr>
        <w:t>Concealed Fami</w:t>
      </w:r>
      <w:r>
        <w:rPr>
          <w:b/>
          <w:sz w:val="18"/>
          <w:szCs w:val="18"/>
        </w:rPr>
        <w:t>lies (Census d</w:t>
      </w:r>
      <w:r w:rsidRPr="00A50BD6">
        <w:rPr>
          <w:b/>
          <w:sz w:val="18"/>
          <w:szCs w:val="18"/>
        </w:rPr>
        <w:t>efinition)</w:t>
      </w:r>
      <w:r w:rsidRPr="00A50BD6">
        <w:rPr>
          <w:rStyle w:val="FootnoteReference"/>
          <w:b/>
          <w:sz w:val="18"/>
          <w:szCs w:val="18"/>
        </w:rPr>
        <w:footnoteReference w:id="34"/>
      </w:r>
    </w:p>
    <w:p w:rsidR="00AC41F0" w:rsidRDefault="00AC41F0" w:rsidP="00AC41F0">
      <w:pPr>
        <w:pStyle w:val="BodyText"/>
        <w:jc w:val="both"/>
        <w:rPr>
          <w:sz w:val="18"/>
          <w:szCs w:val="18"/>
        </w:rPr>
      </w:pPr>
      <w:r w:rsidRPr="00A50BD6">
        <w:rPr>
          <w:sz w:val="18"/>
          <w:szCs w:val="18"/>
        </w:rPr>
        <w:t>The 2011 Census defined a concealed family as one with young adults living with a partner and/or child/children in the same household as their parents, older couples living with an adult child and their family or unrelated families sharing a household. A single person cannot be a concealed family; therefore one elderly parent living with their adult child and family or an adult child returning to the parental home is not a concealed family; the latter are reported in an ONS analysis on increasing numbers of young adults living with parents.</w:t>
      </w:r>
    </w:p>
    <w:p w:rsidR="00AC41F0" w:rsidRPr="00A50BD6" w:rsidRDefault="00AC41F0" w:rsidP="00AC41F0">
      <w:pPr>
        <w:pStyle w:val="BodyText"/>
        <w:jc w:val="both"/>
        <w:rPr>
          <w:sz w:val="18"/>
          <w:szCs w:val="18"/>
        </w:rPr>
      </w:pPr>
    </w:p>
    <w:p w:rsidR="00AC41F0" w:rsidRPr="00A50BD6" w:rsidRDefault="00AC41F0" w:rsidP="00AC41F0">
      <w:pPr>
        <w:pStyle w:val="BodyText"/>
        <w:jc w:val="both"/>
        <w:rPr>
          <w:b/>
          <w:sz w:val="18"/>
          <w:szCs w:val="18"/>
        </w:rPr>
      </w:pPr>
      <w:r w:rsidRPr="00A50BD6">
        <w:rPr>
          <w:b/>
          <w:sz w:val="18"/>
          <w:szCs w:val="18"/>
        </w:rPr>
        <w:t>Equity Loans/Shared Equity</w:t>
      </w:r>
    </w:p>
    <w:p w:rsidR="00AC41F0" w:rsidRPr="00A50BD6" w:rsidRDefault="00AC41F0" w:rsidP="00AC41F0">
      <w:pPr>
        <w:pStyle w:val="BodyText"/>
        <w:jc w:val="both"/>
        <w:rPr>
          <w:sz w:val="18"/>
          <w:szCs w:val="18"/>
        </w:rPr>
      </w:pPr>
      <w:r w:rsidRPr="00A50BD6">
        <w:rPr>
          <w:sz w:val="18"/>
          <w:szCs w:val="18"/>
        </w:rPr>
        <w:lastRenderedPageBreak/>
        <w:t>An equity loan which acts as a second charge on a property. For example, a household buys a £200,000 property with a 10% equity loan (£20,000). They pay a small amount for the loan and when the property is sold e.g. for £250,000 the lender receives 10% of the sale cost (£25,000). Some equity loans were available for the purchase of existing stock. The current scheme is to assist people to buy new build.</w:t>
      </w:r>
    </w:p>
    <w:p w:rsidR="00AC41F0" w:rsidRDefault="00AC41F0" w:rsidP="00AC41F0">
      <w:pPr>
        <w:pStyle w:val="BodyText"/>
        <w:jc w:val="both"/>
        <w:rPr>
          <w:b/>
          <w:sz w:val="18"/>
          <w:szCs w:val="18"/>
        </w:rPr>
      </w:pPr>
      <w:r w:rsidRPr="00047BE3">
        <w:rPr>
          <w:b/>
          <w:sz w:val="18"/>
          <w:szCs w:val="18"/>
        </w:rPr>
        <w:t xml:space="preserve">Extra Care Housing </w:t>
      </w:r>
      <w:r>
        <w:rPr>
          <w:b/>
          <w:sz w:val="18"/>
          <w:szCs w:val="18"/>
        </w:rPr>
        <w:t>o</w:t>
      </w:r>
      <w:r w:rsidRPr="00047BE3">
        <w:rPr>
          <w:b/>
          <w:sz w:val="18"/>
          <w:szCs w:val="18"/>
        </w:rPr>
        <w:t>r Housing-With-Care</w:t>
      </w:r>
    </w:p>
    <w:p w:rsidR="00AC41F0" w:rsidRPr="00047BE3" w:rsidRDefault="00AC41F0" w:rsidP="00AC41F0">
      <w:pPr>
        <w:pStyle w:val="BodyText"/>
        <w:jc w:val="both"/>
        <w:rPr>
          <w:sz w:val="18"/>
          <w:szCs w:val="18"/>
        </w:rPr>
      </w:pPr>
      <w:r>
        <w:rPr>
          <w:sz w:val="18"/>
          <w:szCs w:val="18"/>
        </w:rPr>
        <w:t xml:space="preserve">Housing which </w:t>
      </w:r>
      <w:r w:rsidRPr="00047BE3">
        <w:rPr>
          <w:sz w:val="18"/>
          <w:szCs w:val="18"/>
        </w:rPr>
        <w:t xml:space="preserve">usually consists of purpose-built or adapted flats or bungalows with a medium to high level of care available if required, through an onsite care agency registered through the Care Quality Commission (CQC). Residents are able to live independently with 24 hour access to support services and staff, and meals are also available. There are often extensive communal areas, such as space to socialise or a wellbeing centre. In some cases, these developments are </w:t>
      </w:r>
      <w:r w:rsidR="0084044B">
        <w:rPr>
          <w:sz w:val="18"/>
          <w:szCs w:val="18"/>
        </w:rPr>
        <w:t>included in</w:t>
      </w:r>
      <w:r w:rsidRPr="00047BE3">
        <w:rPr>
          <w:sz w:val="18"/>
          <w:szCs w:val="18"/>
        </w:rPr>
        <w:t xml:space="preserve"> retirement communities or villages - the intention is for residents to benefit from varying levels of care as time progresses.</w:t>
      </w:r>
    </w:p>
    <w:p w:rsidR="00AC41F0" w:rsidRPr="00A50BD6" w:rsidRDefault="00AC41F0" w:rsidP="00AC41F0">
      <w:pPr>
        <w:pStyle w:val="BodyText"/>
        <w:jc w:val="both"/>
        <w:rPr>
          <w:b/>
          <w:sz w:val="18"/>
          <w:szCs w:val="18"/>
        </w:rPr>
      </w:pPr>
      <w:r w:rsidRPr="00A50BD6">
        <w:rPr>
          <w:b/>
          <w:sz w:val="18"/>
          <w:szCs w:val="18"/>
        </w:rPr>
        <w:t>Fair Share</w:t>
      </w:r>
    </w:p>
    <w:p w:rsidR="00AC41F0" w:rsidRDefault="00AC41F0" w:rsidP="00AC41F0">
      <w:pPr>
        <w:pStyle w:val="BodyText"/>
        <w:jc w:val="both"/>
        <w:rPr>
          <w:sz w:val="18"/>
          <w:szCs w:val="18"/>
        </w:rPr>
      </w:pPr>
      <w:r w:rsidRPr="00A50BD6">
        <w:rPr>
          <w:sz w:val="18"/>
          <w:szCs w:val="18"/>
        </w:rPr>
        <w:t xml:space="preserve">'Fair share' is an approach to determining housing need within a given geographical area based on a proportional split according to the size of the area, the number of </w:t>
      </w:r>
      <w:r>
        <w:rPr>
          <w:sz w:val="18"/>
          <w:szCs w:val="18"/>
        </w:rPr>
        <w:t>homes in it, or its population.</w:t>
      </w:r>
    </w:p>
    <w:p w:rsidR="00AC41F0" w:rsidRPr="00A50BD6" w:rsidRDefault="00AC41F0" w:rsidP="00AC41F0">
      <w:pPr>
        <w:pStyle w:val="BodyText"/>
        <w:jc w:val="both"/>
        <w:rPr>
          <w:b/>
          <w:sz w:val="18"/>
          <w:szCs w:val="18"/>
        </w:rPr>
      </w:pPr>
      <w:r w:rsidRPr="00A50BD6">
        <w:rPr>
          <w:b/>
          <w:sz w:val="18"/>
          <w:szCs w:val="18"/>
        </w:rPr>
        <w:t>Habitable Rooms</w:t>
      </w:r>
    </w:p>
    <w:p w:rsidR="00AC41F0" w:rsidRPr="00A50BD6" w:rsidRDefault="00AC41F0" w:rsidP="00AC41F0">
      <w:pPr>
        <w:pStyle w:val="BodyText"/>
        <w:jc w:val="both"/>
        <w:rPr>
          <w:sz w:val="18"/>
          <w:szCs w:val="18"/>
        </w:rPr>
      </w:pPr>
      <w:r w:rsidRPr="00A50BD6">
        <w:rPr>
          <w:sz w:val="18"/>
          <w:szCs w:val="18"/>
        </w:rPr>
        <w:t>The number of habitable rooms in a home is the total number of rooms, excluding bathrooms, toilets and halls.</w:t>
      </w:r>
    </w:p>
    <w:p w:rsidR="00AC41F0" w:rsidRPr="00A50BD6" w:rsidRDefault="00AC41F0" w:rsidP="00AC41F0">
      <w:pPr>
        <w:pStyle w:val="BodyText"/>
        <w:jc w:val="both"/>
        <w:rPr>
          <w:b/>
          <w:sz w:val="18"/>
          <w:szCs w:val="18"/>
        </w:rPr>
      </w:pPr>
      <w:r w:rsidRPr="00A50BD6">
        <w:rPr>
          <w:b/>
          <w:sz w:val="18"/>
          <w:szCs w:val="18"/>
        </w:rPr>
        <w:t>Household Reference Person (HRP)</w:t>
      </w:r>
    </w:p>
    <w:p w:rsidR="00AC41F0" w:rsidRPr="00A50BD6" w:rsidRDefault="00AC41F0" w:rsidP="00AC41F0">
      <w:pPr>
        <w:pStyle w:val="BodyText"/>
        <w:jc w:val="both"/>
        <w:rPr>
          <w:sz w:val="18"/>
          <w:szCs w:val="18"/>
        </w:rPr>
      </w:pPr>
      <w:r w:rsidRPr="00A50BD6">
        <w:rPr>
          <w:sz w:val="18"/>
          <w:szCs w:val="18"/>
        </w:rPr>
        <w:t xml:space="preserve">The concept of a Household Reference Person (HRP) was introduced in the 2001 Census (in common with other government surveys in 2001/2) to replace the traditional concept of the head of the household. HRPs provide an individual person within a household to act as a reference point for producing further derived statistics and for characterising a whole household according to characteristics of the chosen reference person. </w:t>
      </w:r>
    </w:p>
    <w:p w:rsidR="00AC41F0" w:rsidRPr="00A50BD6" w:rsidRDefault="00AC41F0" w:rsidP="00AC41F0">
      <w:pPr>
        <w:pStyle w:val="BodyText"/>
        <w:jc w:val="both"/>
        <w:rPr>
          <w:b/>
          <w:sz w:val="18"/>
          <w:szCs w:val="18"/>
        </w:rPr>
      </w:pPr>
      <w:r w:rsidRPr="00A50BD6">
        <w:rPr>
          <w:b/>
          <w:sz w:val="18"/>
          <w:szCs w:val="18"/>
        </w:rPr>
        <w:t xml:space="preserve">Housing Market Area </w:t>
      </w:r>
    </w:p>
    <w:p w:rsidR="00AC41F0" w:rsidRPr="00A50BD6" w:rsidRDefault="00AC41F0" w:rsidP="00AC41F0">
      <w:pPr>
        <w:pStyle w:val="BodyText"/>
        <w:jc w:val="both"/>
        <w:rPr>
          <w:sz w:val="18"/>
          <w:szCs w:val="18"/>
        </w:rPr>
      </w:pPr>
      <w:r w:rsidRPr="00A50BD6">
        <w:rPr>
          <w:sz w:val="18"/>
          <w:szCs w:val="18"/>
        </w:rPr>
        <w:t>A housing market area is a geographical area defined by household demand and preferences for all types of housing, reflecting the key functional linkages between places where people live and work. It might be the case that housing market areas overlap.</w:t>
      </w:r>
    </w:p>
    <w:p w:rsidR="00AC41F0" w:rsidRPr="00A50BD6" w:rsidRDefault="00AC41F0" w:rsidP="00AC41F0">
      <w:pPr>
        <w:pStyle w:val="BodyText"/>
        <w:jc w:val="both"/>
        <w:rPr>
          <w:sz w:val="18"/>
          <w:szCs w:val="18"/>
        </w:rPr>
      </w:pPr>
      <w:r w:rsidRPr="00A50BD6">
        <w:rPr>
          <w:sz w:val="18"/>
          <w:szCs w:val="18"/>
        </w:rPr>
        <w:t>The extent of the housing market areas identified will vary, and many will in practice cut across various local planning authority administrative boundaries. Local planning authorities should work with all the other constituent authorities under the duty to cooperate.</w:t>
      </w:r>
    </w:p>
    <w:p w:rsidR="00AC41F0" w:rsidRPr="00A50BD6" w:rsidRDefault="00AC41F0" w:rsidP="00AC41F0">
      <w:pPr>
        <w:pStyle w:val="BodyText"/>
        <w:jc w:val="both"/>
        <w:rPr>
          <w:b/>
          <w:sz w:val="18"/>
          <w:szCs w:val="18"/>
        </w:rPr>
      </w:pPr>
      <w:r w:rsidRPr="00A50BD6">
        <w:rPr>
          <w:b/>
          <w:sz w:val="18"/>
          <w:szCs w:val="18"/>
        </w:rPr>
        <w:t>Housing Needs</w:t>
      </w:r>
    </w:p>
    <w:p w:rsidR="00AC41F0" w:rsidRPr="00A50BD6" w:rsidRDefault="00AC41F0" w:rsidP="00AC41F0">
      <w:pPr>
        <w:pStyle w:val="BodyText"/>
        <w:jc w:val="both"/>
        <w:rPr>
          <w:sz w:val="18"/>
          <w:szCs w:val="18"/>
        </w:rPr>
      </w:pPr>
      <w:r w:rsidRPr="00A50BD6">
        <w:rPr>
          <w:sz w:val="18"/>
          <w:szCs w:val="18"/>
        </w:rPr>
        <w:t>There is no official definition of housing need in either the National Planning Policy Framework or the National Planning Practice Guidance. Clearly, individuals have their own housing needs. The process of understanding housing needs at a population scale is undertaken via the preparation of a Strategic Housing Market Assessment (see below).</w:t>
      </w:r>
    </w:p>
    <w:p w:rsidR="00AC41F0" w:rsidRPr="00A50BD6" w:rsidRDefault="00AC41F0" w:rsidP="00AC41F0">
      <w:pPr>
        <w:pStyle w:val="BodyText"/>
        <w:jc w:val="both"/>
        <w:rPr>
          <w:b/>
          <w:sz w:val="18"/>
          <w:szCs w:val="18"/>
        </w:rPr>
      </w:pPr>
      <w:r w:rsidRPr="00A50BD6">
        <w:rPr>
          <w:b/>
          <w:sz w:val="18"/>
          <w:szCs w:val="18"/>
        </w:rPr>
        <w:t>Housing Needs Assessment</w:t>
      </w:r>
    </w:p>
    <w:p w:rsidR="00AC41F0" w:rsidRDefault="00AC41F0" w:rsidP="00AC41F0">
      <w:pPr>
        <w:pStyle w:val="BodyText"/>
        <w:jc w:val="both"/>
        <w:rPr>
          <w:sz w:val="18"/>
          <w:szCs w:val="18"/>
        </w:rPr>
      </w:pPr>
      <w:r w:rsidRPr="00A50BD6">
        <w:rPr>
          <w:sz w:val="18"/>
          <w:szCs w:val="18"/>
        </w:rPr>
        <w:t>A Housing Needs Assessment (HNA) is an assessment of housing needs at the Neighbourhood Area level.</w:t>
      </w:r>
    </w:p>
    <w:p w:rsidR="00AC41F0" w:rsidRPr="00A50BD6" w:rsidRDefault="00AC41F0" w:rsidP="00AC41F0">
      <w:pPr>
        <w:pStyle w:val="BodyText"/>
        <w:jc w:val="both"/>
        <w:rPr>
          <w:b/>
          <w:sz w:val="18"/>
          <w:szCs w:val="18"/>
        </w:rPr>
      </w:pPr>
      <w:r w:rsidRPr="00A50BD6">
        <w:rPr>
          <w:b/>
          <w:sz w:val="18"/>
          <w:szCs w:val="18"/>
        </w:rPr>
        <w:t>Housing Products</w:t>
      </w:r>
    </w:p>
    <w:p w:rsidR="00AC41F0" w:rsidRPr="00A50BD6" w:rsidRDefault="00AC41F0" w:rsidP="00AC41F0">
      <w:pPr>
        <w:pStyle w:val="BodyText"/>
        <w:jc w:val="both"/>
        <w:rPr>
          <w:sz w:val="18"/>
          <w:szCs w:val="18"/>
        </w:rPr>
      </w:pPr>
      <w:r w:rsidRPr="00A50BD6">
        <w:rPr>
          <w:sz w:val="18"/>
          <w:szCs w:val="18"/>
        </w:rPr>
        <w:t>Housing products simply refers to different types of housing as they are produced by developers of various kinds (including councils and housing associations). Housing products usually refers to specific tenures and types of new build housing.</w:t>
      </w:r>
    </w:p>
    <w:p w:rsidR="00AC41F0" w:rsidRPr="00A50BD6" w:rsidRDefault="00AC41F0" w:rsidP="00AC41F0">
      <w:pPr>
        <w:pStyle w:val="BodyText"/>
        <w:jc w:val="both"/>
        <w:rPr>
          <w:b/>
          <w:sz w:val="18"/>
          <w:szCs w:val="18"/>
        </w:rPr>
      </w:pPr>
      <w:r w:rsidRPr="00A50BD6">
        <w:rPr>
          <w:b/>
          <w:sz w:val="18"/>
          <w:szCs w:val="18"/>
        </w:rPr>
        <w:t>Housing Size (Census Definition)</w:t>
      </w:r>
    </w:p>
    <w:p w:rsidR="00AC41F0" w:rsidRPr="00A50BD6" w:rsidRDefault="00AC41F0" w:rsidP="00AC41F0">
      <w:pPr>
        <w:pStyle w:val="BodyText"/>
        <w:jc w:val="both"/>
        <w:rPr>
          <w:sz w:val="18"/>
          <w:szCs w:val="18"/>
        </w:rPr>
      </w:pPr>
      <w:r w:rsidRPr="00A50BD6">
        <w:rPr>
          <w:sz w:val="18"/>
          <w:szCs w:val="18"/>
        </w:rPr>
        <w:t xml:space="preserve">Housing size can be referred to either in terms of the number of bedrooms in a home (a bedroom is defined as any room that was intended to be used as a bedroom when the property was built, any rooms permanently converted for use as bedrooms); or in terms of the number of rooms, excluding bathrooms, toilets halls or landings, or rooms that can only be used for storage. All other rooms, for example, kitchens, living rooms, bedrooms, utility rooms, studies and conservatories </w:t>
      </w:r>
      <w:r w:rsidRPr="00A50BD6">
        <w:rPr>
          <w:sz w:val="18"/>
          <w:szCs w:val="18"/>
        </w:rPr>
        <w:lastRenderedPageBreak/>
        <w:t xml:space="preserve">are counted.  If two rooms have been converted into one they are counted as one room. Rooms shared between more than one household, for example a shared kitchen, are not counted. </w:t>
      </w:r>
    </w:p>
    <w:p w:rsidR="00AC41F0" w:rsidRPr="00A50BD6" w:rsidRDefault="00AC41F0" w:rsidP="00AC41F0">
      <w:pPr>
        <w:pStyle w:val="BodyText"/>
        <w:jc w:val="both"/>
        <w:rPr>
          <w:b/>
          <w:sz w:val="18"/>
          <w:szCs w:val="18"/>
        </w:rPr>
      </w:pPr>
      <w:r w:rsidRPr="00A50BD6">
        <w:rPr>
          <w:b/>
          <w:sz w:val="18"/>
          <w:szCs w:val="18"/>
        </w:rPr>
        <w:t>Housing Type (Census Definition)</w:t>
      </w:r>
    </w:p>
    <w:p w:rsidR="00AC41F0" w:rsidRPr="00A50BD6" w:rsidRDefault="00AC41F0" w:rsidP="00AC41F0">
      <w:pPr>
        <w:pStyle w:val="BodyText"/>
        <w:jc w:val="both"/>
        <w:rPr>
          <w:sz w:val="18"/>
          <w:szCs w:val="18"/>
        </w:rPr>
      </w:pPr>
      <w:r w:rsidRPr="00A50BD6">
        <w:rPr>
          <w:sz w:val="18"/>
          <w:szCs w:val="18"/>
        </w:rPr>
        <w:t>This refers to the type of accommodation used or available for use by an individual household (i.e. detached, semi-detached, terraced including end of terraced, and flats). Flats are broken down into those in a purpose-built block of flats, in parts of a converted or shared house, or in a commercial building.</w:t>
      </w:r>
    </w:p>
    <w:p w:rsidR="00AC41F0" w:rsidRPr="00A50BD6" w:rsidRDefault="00AC41F0" w:rsidP="00AC41F0">
      <w:pPr>
        <w:pStyle w:val="BodyText"/>
        <w:jc w:val="both"/>
        <w:rPr>
          <w:b/>
          <w:sz w:val="18"/>
          <w:szCs w:val="18"/>
        </w:rPr>
      </w:pPr>
      <w:r w:rsidRPr="00A50BD6">
        <w:rPr>
          <w:b/>
          <w:sz w:val="18"/>
          <w:szCs w:val="18"/>
        </w:rPr>
        <w:t>Housing Tenure (Census Definition)</w:t>
      </w:r>
    </w:p>
    <w:p w:rsidR="00AC41F0" w:rsidRPr="00A50BD6" w:rsidRDefault="00AC41F0" w:rsidP="00AC41F0">
      <w:pPr>
        <w:pStyle w:val="BodyText"/>
        <w:jc w:val="both"/>
        <w:rPr>
          <w:sz w:val="18"/>
          <w:szCs w:val="18"/>
        </w:rPr>
      </w:pPr>
      <w:r w:rsidRPr="00A50BD6">
        <w:rPr>
          <w:sz w:val="18"/>
          <w:szCs w:val="18"/>
        </w:rPr>
        <w:t xml:space="preserve">Tenure provides information about whether a household rents or owns the accommodation that it occupies and, if rented, combines this with information about the type of landlord who owns or manages the accommodation. </w:t>
      </w:r>
    </w:p>
    <w:p w:rsidR="00AC41F0" w:rsidRPr="00A50BD6" w:rsidRDefault="00AC41F0" w:rsidP="00AC41F0">
      <w:pPr>
        <w:pStyle w:val="BodyText"/>
        <w:jc w:val="both"/>
        <w:rPr>
          <w:b/>
          <w:sz w:val="18"/>
          <w:szCs w:val="18"/>
        </w:rPr>
      </w:pPr>
      <w:r w:rsidRPr="00A50BD6">
        <w:rPr>
          <w:b/>
          <w:sz w:val="18"/>
          <w:szCs w:val="18"/>
        </w:rPr>
        <w:t>Income Threshold</w:t>
      </w:r>
    </w:p>
    <w:p w:rsidR="00AC41F0" w:rsidRDefault="00AC41F0" w:rsidP="00AC41F0">
      <w:pPr>
        <w:pStyle w:val="BodyText"/>
        <w:jc w:val="both"/>
        <w:rPr>
          <w:sz w:val="18"/>
          <w:szCs w:val="18"/>
        </w:rPr>
      </w:pPr>
      <w:r w:rsidRPr="00A50BD6">
        <w:rPr>
          <w:sz w:val="18"/>
          <w:szCs w:val="18"/>
        </w:rPr>
        <w:t xml:space="preserve">Income thresholds are derived as a result of the </w:t>
      </w:r>
      <w:proofErr w:type="spellStart"/>
      <w:r w:rsidRPr="00A50BD6">
        <w:rPr>
          <w:sz w:val="18"/>
          <w:szCs w:val="18"/>
        </w:rPr>
        <w:t>annualisation</w:t>
      </w:r>
      <w:proofErr w:type="spellEnd"/>
      <w:r w:rsidRPr="00A50BD6">
        <w:rPr>
          <w:sz w:val="18"/>
          <w:szCs w:val="18"/>
        </w:rPr>
        <w:t xml:space="preserve"> of the monthly rental cost and then asserting this cost should not exceed </w:t>
      </w:r>
      <w:r>
        <w:rPr>
          <w:sz w:val="18"/>
          <w:szCs w:val="18"/>
        </w:rPr>
        <w:t>35% of annual household income.</w:t>
      </w:r>
    </w:p>
    <w:p w:rsidR="00AC41F0" w:rsidRPr="00A50BD6" w:rsidRDefault="00AC41F0" w:rsidP="00AC41F0">
      <w:pPr>
        <w:pStyle w:val="BodyText"/>
        <w:jc w:val="both"/>
        <w:rPr>
          <w:b/>
          <w:sz w:val="18"/>
          <w:szCs w:val="18"/>
        </w:rPr>
      </w:pPr>
      <w:r w:rsidRPr="00A50BD6">
        <w:rPr>
          <w:b/>
          <w:sz w:val="18"/>
          <w:szCs w:val="18"/>
        </w:rPr>
        <w:t>Intercensal Period</w:t>
      </w:r>
    </w:p>
    <w:p w:rsidR="00AC41F0" w:rsidRPr="00A50BD6" w:rsidRDefault="00AC41F0" w:rsidP="00AC41F0">
      <w:pPr>
        <w:pStyle w:val="BodyText"/>
        <w:jc w:val="both"/>
        <w:rPr>
          <w:sz w:val="18"/>
          <w:szCs w:val="18"/>
        </w:rPr>
      </w:pPr>
      <w:r w:rsidRPr="00A50BD6">
        <w:rPr>
          <w:sz w:val="18"/>
          <w:szCs w:val="18"/>
        </w:rPr>
        <w:t>This means the period between the last two Censuses, i.e. between years 2001 and 2011.</w:t>
      </w:r>
    </w:p>
    <w:p w:rsidR="00AC41F0" w:rsidRPr="00A50BD6" w:rsidRDefault="00AC41F0" w:rsidP="00AC41F0">
      <w:pPr>
        <w:pStyle w:val="BodyText"/>
        <w:jc w:val="both"/>
        <w:rPr>
          <w:b/>
          <w:sz w:val="18"/>
          <w:szCs w:val="18"/>
        </w:rPr>
      </w:pPr>
      <w:r w:rsidRPr="00A50BD6">
        <w:rPr>
          <w:b/>
          <w:sz w:val="18"/>
          <w:szCs w:val="18"/>
        </w:rPr>
        <w:t>Intermediate Housing</w:t>
      </w:r>
    </w:p>
    <w:p w:rsidR="00AC41F0" w:rsidRPr="00A50BD6" w:rsidRDefault="00AC41F0" w:rsidP="00AC41F0">
      <w:pPr>
        <w:pStyle w:val="ListNumber"/>
        <w:numPr>
          <w:ilvl w:val="0"/>
          <w:numId w:val="0"/>
        </w:numPr>
        <w:jc w:val="both"/>
        <w:rPr>
          <w:sz w:val="18"/>
          <w:szCs w:val="18"/>
        </w:rPr>
      </w:pPr>
      <w:r w:rsidRPr="00A50BD6">
        <w:rPr>
          <w:sz w:val="18"/>
          <w:szCs w:val="18"/>
          <w:lang w:val="en-GB"/>
        </w:rPr>
        <w:t>Intermediate housing is homes for sale and rent provided at a cost above social rent, but below market levels subject to the criteria in the Affordable Housing definition above. These can include shared equity (shared ownersh</w:t>
      </w:r>
      <w:r>
        <w:rPr>
          <w:sz w:val="18"/>
          <w:szCs w:val="18"/>
          <w:lang w:val="en-GB"/>
        </w:rPr>
        <w:t>ip and equity loans), other low-</w:t>
      </w:r>
      <w:r w:rsidRPr="00A50BD6">
        <w:rPr>
          <w:sz w:val="18"/>
          <w:szCs w:val="18"/>
          <w:lang w:val="en-GB"/>
        </w:rPr>
        <w:t>cost homes for sale and intermediate rent, but not affordable rented housing. Homes that do not meet the above definition of a</w:t>
      </w:r>
      <w:r>
        <w:rPr>
          <w:sz w:val="18"/>
          <w:szCs w:val="18"/>
          <w:lang w:val="en-GB"/>
        </w:rPr>
        <w:t>ffordable housing, such as ‘low-</w:t>
      </w:r>
      <w:r w:rsidRPr="00A50BD6">
        <w:rPr>
          <w:sz w:val="18"/>
          <w:szCs w:val="18"/>
          <w:lang w:val="en-GB"/>
        </w:rPr>
        <w:t>cost market’ housing, may not be considered as affordable housing for planning purposes.</w:t>
      </w:r>
    </w:p>
    <w:p w:rsidR="00AC41F0" w:rsidRPr="00A50BD6" w:rsidRDefault="00AC41F0" w:rsidP="00AC41F0">
      <w:pPr>
        <w:pStyle w:val="BodyText"/>
        <w:jc w:val="both"/>
        <w:rPr>
          <w:b/>
          <w:sz w:val="18"/>
          <w:szCs w:val="18"/>
        </w:rPr>
      </w:pPr>
      <w:r w:rsidRPr="00A50BD6">
        <w:rPr>
          <w:b/>
          <w:sz w:val="18"/>
          <w:szCs w:val="18"/>
        </w:rPr>
        <w:t>Life Stage modelling</w:t>
      </w:r>
    </w:p>
    <w:p w:rsidR="00AC41F0" w:rsidRPr="00A50BD6" w:rsidRDefault="00AC41F0" w:rsidP="00AC41F0">
      <w:pPr>
        <w:pStyle w:val="BodyText"/>
        <w:jc w:val="both"/>
        <w:rPr>
          <w:sz w:val="18"/>
          <w:szCs w:val="18"/>
        </w:rPr>
      </w:pPr>
      <w:r w:rsidRPr="00A50BD6">
        <w:rPr>
          <w:sz w:val="18"/>
          <w:szCs w:val="18"/>
        </w:rPr>
        <w:t xml:space="preserve">Life Stage modelling is forecasting need for dwellings of different sizes </w:t>
      </w:r>
      <w:r>
        <w:rPr>
          <w:sz w:val="18"/>
          <w:szCs w:val="18"/>
        </w:rPr>
        <w:t>by</w:t>
      </w:r>
      <w:r w:rsidRPr="00A50BD6">
        <w:rPr>
          <w:sz w:val="18"/>
          <w:szCs w:val="18"/>
        </w:rPr>
        <w:t xml:space="preserve"> the end of the Plan period on the basis of changes in the distribution of household types and key age brackets (life stages) within the NA. Given the shared behavioural patterns associated with these metrics, they provide a helpful way of understanding and predicting future community need. This dat</w:t>
      </w:r>
      <w:r>
        <w:rPr>
          <w:sz w:val="18"/>
          <w:szCs w:val="18"/>
        </w:rPr>
        <w:t>a is not available at neighbourhood</w:t>
      </w:r>
      <w:r w:rsidRPr="00A50BD6">
        <w:rPr>
          <w:sz w:val="18"/>
          <w:szCs w:val="18"/>
        </w:rPr>
        <w:t xml:space="preserve"> level so </w:t>
      </w:r>
      <w:r>
        <w:rPr>
          <w:sz w:val="18"/>
          <w:szCs w:val="18"/>
        </w:rPr>
        <w:t>LPA</w:t>
      </w:r>
      <w:r w:rsidRPr="00A50BD6">
        <w:rPr>
          <w:sz w:val="18"/>
          <w:szCs w:val="18"/>
        </w:rPr>
        <w:t xml:space="preserve"> level data is employed on the </w:t>
      </w:r>
      <w:r>
        <w:rPr>
          <w:sz w:val="18"/>
          <w:szCs w:val="18"/>
        </w:rPr>
        <w:t>basis of the NA falling within its</w:t>
      </w:r>
      <w:r w:rsidRPr="00A50BD6">
        <w:rPr>
          <w:sz w:val="18"/>
          <w:szCs w:val="18"/>
        </w:rPr>
        <w:t xml:space="preserve"> defined Housing Market Area.</w:t>
      </w:r>
    </w:p>
    <w:p w:rsidR="00AC41F0" w:rsidRPr="00A50BD6" w:rsidRDefault="00AC41F0" w:rsidP="00AC41F0">
      <w:pPr>
        <w:pStyle w:val="BodyText"/>
        <w:jc w:val="both"/>
        <w:rPr>
          <w:b/>
          <w:sz w:val="18"/>
          <w:szCs w:val="18"/>
        </w:rPr>
      </w:pPr>
      <w:r w:rsidRPr="00A50BD6">
        <w:rPr>
          <w:b/>
          <w:sz w:val="18"/>
          <w:szCs w:val="18"/>
        </w:rPr>
        <w:t>Life-time Homes</w:t>
      </w:r>
    </w:p>
    <w:p w:rsidR="00AC41F0" w:rsidRPr="00A50BD6" w:rsidRDefault="00AC41F0" w:rsidP="00AC41F0">
      <w:pPr>
        <w:pStyle w:val="BodyText"/>
        <w:jc w:val="both"/>
        <w:rPr>
          <w:sz w:val="18"/>
          <w:szCs w:val="18"/>
        </w:rPr>
      </w:pPr>
      <w:r w:rsidRPr="00A50BD6">
        <w:rPr>
          <w:sz w:val="18"/>
          <w:szCs w:val="18"/>
        </w:rPr>
        <w:t xml:space="preserve">Dwellings constructed to make them more flexible, convenient adaptable and accessible than most ‘normal’ houses, usually according to the Lifetime Homes Standard, 16 design criteria that can be applied to new homes at minimal cost: </w:t>
      </w:r>
      <w:hyperlink r:id="rId23" w:history="1">
        <w:r w:rsidRPr="00A50BD6">
          <w:rPr>
            <w:rStyle w:val="Hyperlink"/>
            <w:sz w:val="18"/>
            <w:szCs w:val="18"/>
          </w:rPr>
          <w:t>http://www.lifetimehomes.org.uk/</w:t>
        </w:r>
      </w:hyperlink>
      <w:r w:rsidRPr="00A50BD6">
        <w:rPr>
          <w:sz w:val="18"/>
          <w:szCs w:val="18"/>
        </w:rPr>
        <w:t xml:space="preserve">. </w:t>
      </w:r>
    </w:p>
    <w:p w:rsidR="00AC41F0" w:rsidRPr="00A50BD6" w:rsidRDefault="00AC41F0" w:rsidP="00AC41F0">
      <w:pPr>
        <w:pStyle w:val="BodyText"/>
        <w:jc w:val="both"/>
        <w:rPr>
          <w:b/>
          <w:sz w:val="18"/>
          <w:szCs w:val="18"/>
        </w:rPr>
      </w:pPr>
      <w:r w:rsidRPr="00A50BD6">
        <w:rPr>
          <w:b/>
          <w:sz w:val="18"/>
          <w:szCs w:val="18"/>
        </w:rPr>
        <w:t xml:space="preserve">Life-time Neighbourhoods </w:t>
      </w:r>
    </w:p>
    <w:p w:rsidR="00AC41F0" w:rsidRPr="00A50BD6" w:rsidRDefault="00AC41F0" w:rsidP="00AC41F0">
      <w:pPr>
        <w:pStyle w:val="BodyText"/>
        <w:jc w:val="both"/>
        <w:rPr>
          <w:sz w:val="18"/>
          <w:szCs w:val="18"/>
        </w:rPr>
      </w:pPr>
      <w:r w:rsidRPr="00A50BD6">
        <w:rPr>
          <w:sz w:val="18"/>
          <w:szCs w:val="18"/>
        </w:rPr>
        <w:t>Lifetime neighbourhoods extend the principles of Lifetime Homes into the wider neighbourhood to ensure the public realm is designed in such a way to be as inclusive as possible and designed to address the needs of older people, for example providing more greenery and more walkable, better connected places.</w:t>
      </w:r>
    </w:p>
    <w:p w:rsidR="00AC41F0" w:rsidRPr="00A50BD6" w:rsidRDefault="00AC41F0" w:rsidP="00AC41F0">
      <w:pPr>
        <w:pStyle w:val="BodyText"/>
        <w:jc w:val="both"/>
        <w:rPr>
          <w:b/>
          <w:sz w:val="18"/>
          <w:szCs w:val="18"/>
        </w:rPr>
      </w:pPr>
      <w:r w:rsidRPr="00A50BD6">
        <w:rPr>
          <w:b/>
          <w:sz w:val="18"/>
          <w:szCs w:val="18"/>
        </w:rPr>
        <w:t>Local Development Order</w:t>
      </w:r>
    </w:p>
    <w:p w:rsidR="00AC41F0" w:rsidRPr="00A50BD6" w:rsidRDefault="00AC41F0" w:rsidP="00AC41F0">
      <w:pPr>
        <w:pStyle w:val="BodyText"/>
        <w:jc w:val="both"/>
        <w:rPr>
          <w:sz w:val="18"/>
          <w:szCs w:val="18"/>
        </w:rPr>
      </w:pPr>
      <w:r w:rsidRPr="00A50BD6">
        <w:rPr>
          <w:sz w:val="18"/>
          <w:szCs w:val="18"/>
        </w:rPr>
        <w:t>An Order made by a local planning authority (under the Town and Country Planning Act 1990) that grants planning permission for a specific development proposal or classes of development.</w:t>
      </w:r>
    </w:p>
    <w:p w:rsidR="00AC41F0" w:rsidRPr="00A50BD6" w:rsidRDefault="00AC41F0" w:rsidP="00AC41F0">
      <w:pPr>
        <w:pStyle w:val="BodyText"/>
        <w:jc w:val="both"/>
        <w:rPr>
          <w:b/>
          <w:bCs/>
          <w:sz w:val="18"/>
          <w:szCs w:val="18"/>
        </w:rPr>
      </w:pPr>
      <w:r w:rsidRPr="00A50BD6">
        <w:rPr>
          <w:b/>
          <w:bCs/>
          <w:sz w:val="18"/>
          <w:szCs w:val="18"/>
        </w:rPr>
        <w:t>Local Enterprise Partnership</w:t>
      </w:r>
    </w:p>
    <w:p w:rsidR="00AC41F0" w:rsidRPr="00A50BD6" w:rsidRDefault="00AC41F0" w:rsidP="00AC41F0">
      <w:pPr>
        <w:pStyle w:val="BodyText"/>
        <w:jc w:val="both"/>
        <w:rPr>
          <w:sz w:val="18"/>
          <w:szCs w:val="18"/>
        </w:rPr>
      </w:pPr>
      <w:r w:rsidRPr="00A50BD6">
        <w:rPr>
          <w:sz w:val="18"/>
          <w:szCs w:val="18"/>
        </w:rPr>
        <w:t>A body, designated by the Secretary of State for Communities and Local Government, established for the purpose of creating or improving the conditions for economic growth in an area.</w:t>
      </w:r>
    </w:p>
    <w:p w:rsidR="00AC41F0" w:rsidRPr="00A50BD6" w:rsidRDefault="00AC41F0" w:rsidP="00AC41F0">
      <w:pPr>
        <w:pStyle w:val="BodyText"/>
        <w:jc w:val="both"/>
        <w:rPr>
          <w:b/>
          <w:sz w:val="18"/>
          <w:szCs w:val="18"/>
        </w:rPr>
      </w:pPr>
      <w:r w:rsidRPr="00A50BD6">
        <w:rPr>
          <w:b/>
          <w:sz w:val="18"/>
          <w:szCs w:val="18"/>
        </w:rPr>
        <w:t>Local housing need (NPPF definition)</w:t>
      </w:r>
    </w:p>
    <w:p w:rsidR="00AC41F0" w:rsidRPr="00A50BD6" w:rsidRDefault="00AC41F0" w:rsidP="00AC41F0">
      <w:pPr>
        <w:pStyle w:val="BodyText"/>
        <w:jc w:val="both"/>
        <w:rPr>
          <w:sz w:val="18"/>
          <w:szCs w:val="18"/>
        </w:rPr>
      </w:pPr>
      <w:r w:rsidRPr="00A50BD6">
        <w:rPr>
          <w:sz w:val="18"/>
          <w:szCs w:val="18"/>
        </w:rPr>
        <w:lastRenderedPageBreak/>
        <w:t>The number of homes identified as being needed through the application of the standard method set out in national planning guidance (or, in the context of preparing strategic policies only, this may be calculated using a justified alternative approach as provided for in paragraph 60 of this Framework).</w:t>
      </w:r>
    </w:p>
    <w:p w:rsidR="00AC41F0" w:rsidRPr="00A50BD6" w:rsidRDefault="00AC41F0" w:rsidP="00AC41F0">
      <w:pPr>
        <w:pStyle w:val="BodyText"/>
        <w:jc w:val="both"/>
        <w:rPr>
          <w:b/>
          <w:sz w:val="18"/>
          <w:szCs w:val="18"/>
        </w:rPr>
      </w:pPr>
      <w:r w:rsidRPr="00A50BD6">
        <w:rPr>
          <w:b/>
          <w:sz w:val="18"/>
          <w:szCs w:val="18"/>
        </w:rPr>
        <w:t>Local Planning Authority</w:t>
      </w:r>
    </w:p>
    <w:p w:rsidR="00AC41F0" w:rsidRPr="00A50BD6" w:rsidRDefault="00AC41F0" w:rsidP="00AC41F0">
      <w:pPr>
        <w:pStyle w:val="BodyText"/>
        <w:jc w:val="both"/>
        <w:rPr>
          <w:sz w:val="18"/>
          <w:szCs w:val="18"/>
        </w:rPr>
      </w:pPr>
      <w:r w:rsidRPr="00A50BD6">
        <w:rPr>
          <w:sz w:val="18"/>
          <w:szCs w:val="18"/>
        </w:rPr>
        <w:t>The public authority whose duty it is to carry out specific planning functions for a particular area. All references to local planning a</w:t>
      </w:r>
      <w:r>
        <w:rPr>
          <w:sz w:val="18"/>
          <w:szCs w:val="18"/>
        </w:rPr>
        <w:t>uthority apply to the District Council, London Borough Council, County C</w:t>
      </w:r>
      <w:r w:rsidRPr="00A50BD6">
        <w:rPr>
          <w:sz w:val="18"/>
          <w:szCs w:val="18"/>
        </w:rPr>
        <w:t xml:space="preserve">ouncil, Broads Authority, National Park Authority </w:t>
      </w:r>
      <w:r>
        <w:rPr>
          <w:sz w:val="18"/>
          <w:szCs w:val="18"/>
        </w:rPr>
        <w:t>or</w:t>
      </w:r>
      <w:r w:rsidRPr="00A50BD6">
        <w:rPr>
          <w:sz w:val="18"/>
          <w:szCs w:val="18"/>
        </w:rPr>
        <w:t xml:space="preserve"> the Greater London Authority, to the extent appropriate to their responsibilities.</w:t>
      </w:r>
    </w:p>
    <w:p w:rsidR="00AC41F0" w:rsidRPr="00A50BD6" w:rsidRDefault="00AC41F0" w:rsidP="00AC41F0">
      <w:pPr>
        <w:pStyle w:val="BodyText"/>
        <w:jc w:val="both"/>
        <w:rPr>
          <w:b/>
          <w:bCs/>
          <w:sz w:val="18"/>
          <w:szCs w:val="18"/>
        </w:rPr>
      </w:pPr>
      <w:r w:rsidRPr="00A50BD6">
        <w:rPr>
          <w:b/>
          <w:bCs/>
          <w:sz w:val="18"/>
          <w:szCs w:val="18"/>
        </w:rPr>
        <w:t>Local Plan</w:t>
      </w:r>
    </w:p>
    <w:p w:rsidR="00AC41F0" w:rsidRDefault="00AC41F0" w:rsidP="00AC41F0">
      <w:pPr>
        <w:pStyle w:val="BodyText"/>
        <w:jc w:val="both"/>
        <w:rPr>
          <w:sz w:val="18"/>
          <w:szCs w:val="18"/>
        </w:rPr>
      </w:pPr>
      <w:r w:rsidRPr="00A50BD6">
        <w:rPr>
          <w:sz w:val="18"/>
          <w:szCs w:val="18"/>
        </w:rPr>
        <w:t>This is the plan for the future development of the local area, drawn up by the local planning authority in consultation with the community. In law this is described as the development plan documents adopted under the Planning and Compulsory Purchase Act 2004. Current core strategies or other planning policies form part of the Local Plan and are known as ‘</w:t>
      </w:r>
      <w:r>
        <w:rPr>
          <w:sz w:val="18"/>
          <w:szCs w:val="18"/>
        </w:rPr>
        <w:t>Development Plan D</w:t>
      </w:r>
      <w:r w:rsidRPr="00A50BD6">
        <w:rPr>
          <w:sz w:val="18"/>
          <w:szCs w:val="18"/>
        </w:rPr>
        <w:t>ocuments’</w:t>
      </w:r>
      <w:r>
        <w:rPr>
          <w:sz w:val="18"/>
          <w:szCs w:val="18"/>
        </w:rPr>
        <w:t xml:space="preserve"> (DPDs)</w:t>
      </w:r>
      <w:r w:rsidRPr="00A50BD6">
        <w:rPr>
          <w:sz w:val="18"/>
          <w:szCs w:val="18"/>
        </w:rPr>
        <w:t>.</w:t>
      </w:r>
    </w:p>
    <w:p w:rsidR="00AC41F0" w:rsidRPr="00A50BD6" w:rsidRDefault="00AC41F0" w:rsidP="00AC41F0">
      <w:pPr>
        <w:pStyle w:val="BodyText"/>
        <w:jc w:val="both"/>
        <w:rPr>
          <w:b/>
          <w:sz w:val="18"/>
          <w:szCs w:val="18"/>
        </w:rPr>
      </w:pPr>
      <w:r w:rsidRPr="00A50BD6">
        <w:rPr>
          <w:b/>
          <w:sz w:val="18"/>
          <w:szCs w:val="18"/>
        </w:rPr>
        <w:t>Lower Quartile</w:t>
      </w:r>
    </w:p>
    <w:p w:rsidR="00AC41F0" w:rsidRPr="00A50BD6" w:rsidRDefault="00AC41F0" w:rsidP="00AC41F0">
      <w:pPr>
        <w:pStyle w:val="BodyText"/>
        <w:jc w:val="both"/>
        <w:rPr>
          <w:sz w:val="18"/>
          <w:szCs w:val="18"/>
        </w:rPr>
      </w:pPr>
      <w:r w:rsidRPr="00A50BD6">
        <w:rPr>
          <w:sz w:val="18"/>
          <w:szCs w:val="18"/>
        </w:rPr>
        <w:t xml:space="preserve">The bottom 25% value, i.e. of all the properties sold, 25% were cheaper than this value and 75% were more expensive. The lower quartile price is used as an entry level price and is the recommended level used to evaluate affordability; for example for first time buyers. </w:t>
      </w:r>
    </w:p>
    <w:p w:rsidR="00AC41F0" w:rsidRPr="00A50BD6" w:rsidRDefault="00AC41F0" w:rsidP="00AC41F0">
      <w:pPr>
        <w:pStyle w:val="BodyText"/>
        <w:jc w:val="both"/>
        <w:rPr>
          <w:b/>
          <w:sz w:val="18"/>
          <w:szCs w:val="18"/>
        </w:rPr>
      </w:pPr>
      <w:r w:rsidRPr="00A50BD6">
        <w:rPr>
          <w:b/>
          <w:sz w:val="18"/>
          <w:szCs w:val="18"/>
        </w:rPr>
        <w:t>Lower Quartile Affordability Ratio</w:t>
      </w:r>
    </w:p>
    <w:p w:rsidR="00AC41F0" w:rsidRPr="00A50BD6" w:rsidRDefault="00AC41F0" w:rsidP="00AC41F0">
      <w:pPr>
        <w:pStyle w:val="BodyText"/>
        <w:jc w:val="both"/>
        <w:rPr>
          <w:sz w:val="18"/>
          <w:szCs w:val="18"/>
        </w:rPr>
      </w:pPr>
      <w:r w:rsidRPr="00A50BD6">
        <w:rPr>
          <w:sz w:val="18"/>
          <w:szCs w:val="18"/>
        </w:rPr>
        <w:t>The Lower Quartile Affordability Ratio reflects the relationship between Lower Quartile Household Incomes and Lower Quartile House Prices, and is a key indicator of affordability of market housing for people on relatively low incomes.</w:t>
      </w:r>
    </w:p>
    <w:p w:rsidR="00AC41F0" w:rsidRPr="00A50BD6" w:rsidRDefault="00AC41F0" w:rsidP="00AC41F0">
      <w:pPr>
        <w:pStyle w:val="BodyText"/>
        <w:jc w:val="both"/>
        <w:rPr>
          <w:b/>
          <w:sz w:val="18"/>
          <w:szCs w:val="18"/>
        </w:rPr>
      </w:pPr>
      <w:r w:rsidRPr="00A50BD6">
        <w:rPr>
          <w:b/>
          <w:sz w:val="18"/>
          <w:szCs w:val="18"/>
        </w:rPr>
        <w:t xml:space="preserve">Market Housing </w:t>
      </w:r>
    </w:p>
    <w:p w:rsidR="00AC41F0" w:rsidRPr="00A50BD6" w:rsidRDefault="00AC41F0" w:rsidP="00AC41F0">
      <w:pPr>
        <w:pStyle w:val="BodyText"/>
        <w:jc w:val="both"/>
        <w:rPr>
          <w:sz w:val="18"/>
          <w:szCs w:val="18"/>
        </w:rPr>
      </w:pPr>
      <w:r w:rsidRPr="00A50BD6">
        <w:rPr>
          <w:sz w:val="18"/>
          <w:szCs w:val="18"/>
        </w:rPr>
        <w:t>Market housing is housing which is built by developers (which may be private companies or housing associations, or Private Registered Providers), for the purposes of sale (or rent) on the open market.</w:t>
      </w:r>
    </w:p>
    <w:p w:rsidR="00AC41F0" w:rsidRPr="00A50BD6" w:rsidRDefault="00AC41F0" w:rsidP="00AC41F0">
      <w:pPr>
        <w:pStyle w:val="BodyText"/>
        <w:jc w:val="both"/>
        <w:rPr>
          <w:b/>
          <w:sz w:val="18"/>
          <w:szCs w:val="18"/>
        </w:rPr>
      </w:pPr>
      <w:r w:rsidRPr="00A50BD6">
        <w:rPr>
          <w:b/>
          <w:sz w:val="18"/>
          <w:szCs w:val="18"/>
        </w:rPr>
        <w:t>Mean (Average)</w:t>
      </w:r>
    </w:p>
    <w:p w:rsidR="00AC41F0" w:rsidRPr="00A50BD6" w:rsidRDefault="00AC41F0" w:rsidP="00AC41F0">
      <w:pPr>
        <w:pStyle w:val="BodyText"/>
        <w:jc w:val="both"/>
        <w:rPr>
          <w:sz w:val="18"/>
          <w:szCs w:val="18"/>
        </w:rPr>
      </w:pPr>
      <w:r w:rsidRPr="00A50BD6">
        <w:rPr>
          <w:sz w:val="18"/>
          <w:szCs w:val="18"/>
        </w:rPr>
        <w:t>The mean or the average is, mathematically, the sum of all values divided by the total number of values. This is the more commonly used “average” measure as it includes all values, unlike the median.</w:t>
      </w:r>
    </w:p>
    <w:p w:rsidR="00AC41F0" w:rsidRPr="00A50BD6" w:rsidRDefault="00AC41F0" w:rsidP="00AC41F0">
      <w:pPr>
        <w:pStyle w:val="BodyText"/>
        <w:jc w:val="both"/>
        <w:rPr>
          <w:b/>
          <w:sz w:val="18"/>
          <w:szCs w:val="18"/>
        </w:rPr>
      </w:pPr>
      <w:r w:rsidRPr="00A50BD6">
        <w:rPr>
          <w:b/>
          <w:sz w:val="18"/>
          <w:szCs w:val="18"/>
        </w:rPr>
        <w:t>Median</w:t>
      </w:r>
    </w:p>
    <w:p w:rsidR="00AC41F0" w:rsidRPr="00A50BD6" w:rsidRDefault="00AC41F0" w:rsidP="00AC41F0">
      <w:pPr>
        <w:pStyle w:val="BodyText"/>
        <w:jc w:val="both"/>
        <w:rPr>
          <w:sz w:val="18"/>
          <w:szCs w:val="18"/>
        </w:rPr>
      </w:pPr>
      <w:r w:rsidRPr="00A50BD6">
        <w:rPr>
          <w:sz w:val="18"/>
          <w:szCs w:val="18"/>
        </w:rPr>
        <w:t>The middle value, i.e. of all the properties sold, half were cheaper and half were more expensive. This is sometimes used instead of the mean average as it is not subject to skew by very large or very small statistical outliers.</w:t>
      </w:r>
    </w:p>
    <w:p w:rsidR="00AC41F0" w:rsidRPr="00A50BD6" w:rsidRDefault="00AC41F0" w:rsidP="00AC41F0">
      <w:pPr>
        <w:pStyle w:val="BodyText"/>
        <w:jc w:val="both"/>
        <w:rPr>
          <w:b/>
          <w:sz w:val="18"/>
          <w:szCs w:val="18"/>
        </w:rPr>
      </w:pPr>
      <w:r w:rsidRPr="00A50BD6">
        <w:rPr>
          <w:b/>
          <w:sz w:val="18"/>
          <w:szCs w:val="18"/>
        </w:rPr>
        <w:t>Median Affordability Ratio</w:t>
      </w:r>
    </w:p>
    <w:p w:rsidR="00AC41F0" w:rsidRDefault="00AC41F0" w:rsidP="00AC41F0">
      <w:pPr>
        <w:pStyle w:val="BodyText"/>
        <w:jc w:val="both"/>
        <w:rPr>
          <w:sz w:val="18"/>
          <w:szCs w:val="18"/>
        </w:rPr>
      </w:pPr>
      <w:r w:rsidRPr="00A50BD6">
        <w:rPr>
          <w:sz w:val="18"/>
          <w:szCs w:val="18"/>
        </w:rPr>
        <w:t>The Lower Quartile Affordability Ratio reflects the relationship between Median Household Incomes and Median House Prices, and is a key indicator of affordability of market housing for people on middle-range incomes.</w:t>
      </w:r>
    </w:p>
    <w:p w:rsidR="00AC41F0" w:rsidRDefault="00AC41F0" w:rsidP="00AC41F0">
      <w:pPr>
        <w:spacing w:before="0" w:after="0" w:line="240" w:lineRule="auto"/>
        <w:rPr>
          <w:sz w:val="18"/>
          <w:szCs w:val="18"/>
        </w:rPr>
      </w:pPr>
      <w:r>
        <w:rPr>
          <w:sz w:val="18"/>
          <w:szCs w:val="18"/>
        </w:rPr>
        <w:br w:type="page"/>
      </w:r>
    </w:p>
    <w:p w:rsidR="00AC41F0" w:rsidRPr="00A50BD6" w:rsidRDefault="00AC41F0" w:rsidP="00AC41F0">
      <w:pPr>
        <w:pStyle w:val="BodyText"/>
        <w:jc w:val="both"/>
        <w:rPr>
          <w:b/>
          <w:sz w:val="18"/>
          <w:szCs w:val="18"/>
        </w:rPr>
      </w:pPr>
      <w:r w:rsidRPr="00A50BD6">
        <w:rPr>
          <w:b/>
          <w:sz w:val="18"/>
          <w:szCs w:val="18"/>
        </w:rPr>
        <w:lastRenderedPageBreak/>
        <w:t>Mortgage Ratio</w:t>
      </w:r>
    </w:p>
    <w:p w:rsidR="00AC41F0" w:rsidRDefault="00AC41F0" w:rsidP="00AC41F0">
      <w:pPr>
        <w:pStyle w:val="BodyText"/>
        <w:jc w:val="both"/>
        <w:rPr>
          <w:sz w:val="18"/>
          <w:szCs w:val="18"/>
        </w:rPr>
      </w:pPr>
      <w:r w:rsidRPr="00A50BD6">
        <w:rPr>
          <w:sz w:val="18"/>
          <w:szCs w:val="18"/>
        </w:rPr>
        <w:t>The mortgage ratio is the ratio of mortgage value to income which is typically deemed acceptable by banks. Approximately 75% of all mortgage lending ratios fell below 4 in recent years</w:t>
      </w:r>
      <w:r w:rsidRPr="00A50BD6">
        <w:rPr>
          <w:rStyle w:val="FootnoteReference"/>
          <w:sz w:val="18"/>
          <w:szCs w:val="18"/>
        </w:rPr>
        <w:footnoteReference w:id="35"/>
      </w:r>
      <w:r w:rsidRPr="00A50BD6">
        <w:rPr>
          <w:sz w:val="18"/>
          <w:szCs w:val="18"/>
        </w:rPr>
        <w:t>, i.e. the total value of the mortgage was less than 4 times the annual income of the person who was granted the mortgage.</w:t>
      </w:r>
    </w:p>
    <w:p w:rsidR="00AC41F0" w:rsidRPr="008D49A0" w:rsidRDefault="00AC41F0" w:rsidP="00AC41F0">
      <w:pPr>
        <w:pStyle w:val="BodyText"/>
        <w:jc w:val="both"/>
        <w:rPr>
          <w:b/>
          <w:sz w:val="18"/>
          <w:szCs w:val="18"/>
        </w:rPr>
      </w:pPr>
      <w:r w:rsidRPr="008D49A0">
        <w:rPr>
          <w:b/>
          <w:sz w:val="18"/>
          <w:szCs w:val="18"/>
        </w:rPr>
        <w:t>Neighbourhood Development Order (NDO)</w:t>
      </w:r>
    </w:p>
    <w:p w:rsidR="00AC41F0" w:rsidRPr="00A50BD6" w:rsidRDefault="00AC41F0" w:rsidP="00AC41F0">
      <w:pPr>
        <w:pStyle w:val="BodyText"/>
        <w:jc w:val="both"/>
        <w:rPr>
          <w:sz w:val="18"/>
          <w:szCs w:val="18"/>
        </w:rPr>
      </w:pPr>
      <w:r w:rsidRPr="008D49A0">
        <w:rPr>
          <w:sz w:val="18"/>
          <w:szCs w:val="18"/>
        </w:rPr>
        <w:t>An NDO will grant planning permission for a particular type of development in a particul</w:t>
      </w:r>
      <w:r>
        <w:rPr>
          <w:sz w:val="18"/>
          <w:szCs w:val="18"/>
        </w:rPr>
        <w:t xml:space="preserve">ar area. This could be either a </w:t>
      </w:r>
      <w:r w:rsidRPr="008D49A0">
        <w:rPr>
          <w:sz w:val="18"/>
          <w:szCs w:val="18"/>
        </w:rPr>
        <w:t>particular development, or a particular class of development (for example retail or</w:t>
      </w:r>
      <w:r>
        <w:rPr>
          <w:sz w:val="18"/>
          <w:szCs w:val="18"/>
        </w:rPr>
        <w:t xml:space="preserve"> housing). A number of types of </w:t>
      </w:r>
      <w:r w:rsidRPr="008D49A0">
        <w:rPr>
          <w:sz w:val="18"/>
          <w:szCs w:val="18"/>
        </w:rPr>
        <w:t>development will be excluded from NDOs, however. These are minerals and waste de</w:t>
      </w:r>
      <w:r>
        <w:rPr>
          <w:sz w:val="18"/>
          <w:szCs w:val="18"/>
        </w:rPr>
        <w:t xml:space="preserve">velopment, types of development </w:t>
      </w:r>
      <w:r w:rsidRPr="008D49A0">
        <w:rPr>
          <w:sz w:val="18"/>
          <w:szCs w:val="18"/>
        </w:rPr>
        <w:t>that, regardless of scale, always need Environmental Impact Assessment, and Nationally Significant Infrastructure Projects.</w:t>
      </w:r>
    </w:p>
    <w:p w:rsidR="00AC41F0" w:rsidRPr="00A50BD6" w:rsidRDefault="00AC41F0" w:rsidP="00AC41F0">
      <w:pPr>
        <w:pStyle w:val="BodyText"/>
        <w:jc w:val="both"/>
        <w:rPr>
          <w:b/>
          <w:bCs/>
          <w:sz w:val="18"/>
          <w:szCs w:val="18"/>
        </w:rPr>
      </w:pPr>
      <w:r w:rsidRPr="00A50BD6">
        <w:rPr>
          <w:b/>
          <w:bCs/>
          <w:sz w:val="18"/>
          <w:szCs w:val="18"/>
        </w:rPr>
        <w:t>Neighbourhood plan</w:t>
      </w:r>
    </w:p>
    <w:p w:rsidR="00AC41F0" w:rsidRPr="00A50BD6" w:rsidRDefault="00AC41F0" w:rsidP="00AC41F0">
      <w:pPr>
        <w:pStyle w:val="BodyText"/>
        <w:jc w:val="both"/>
        <w:rPr>
          <w:sz w:val="18"/>
          <w:szCs w:val="18"/>
        </w:rPr>
      </w:pPr>
      <w:r w:rsidRPr="00A50BD6">
        <w:rPr>
          <w:sz w:val="18"/>
          <w:szCs w:val="18"/>
        </w:rPr>
        <w:t>A plan prepared by a Parish or Town Council or Neighbourhood Forum for a particular neighbourhood area (made under the Planning and Compulsory Purchase Act 2004).</w:t>
      </w:r>
    </w:p>
    <w:p w:rsidR="00AC41F0" w:rsidRPr="00A50BD6" w:rsidRDefault="00AC41F0" w:rsidP="00AC41F0">
      <w:pPr>
        <w:pStyle w:val="BodyText"/>
        <w:jc w:val="both"/>
        <w:rPr>
          <w:b/>
          <w:sz w:val="18"/>
          <w:szCs w:val="18"/>
        </w:rPr>
      </w:pPr>
      <w:r w:rsidRPr="00A50BD6">
        <w:rPr>
          <w:b/>
          <w:sz w:val="18"/>
          <w:szCs w:val="18"/>
        </w:rPr>
        <w:t>Older People</w:t>
      </w:r>
    </w:p>
    <w:p w:rsidR="00AC41F0" w:rsidRPr="00A50BD6" w:rsidRDefault="00AC41F0" w:rsidP="00AC41F0">
      <w:pPr>
        <w:pStyle w:val="BodyText"/>
        <w:jc w:val="both"/>
        <w:rPr>
          <w:sz w:val="18"/>
          <w:szCs w:val="18"/>
        </w:rPr>
      </w:pPr>
      <w:r w:rsidRPr="00A50BD6">
        <w:rPr>
          <w:sz w:val="18"/>
          <w:szCs w:val="18"/>
        </w:rPr>
        <w:t>People over retirement age, including the active, newly-retired through to the very frail elderly, whose housing needs can encompass accessible, adaptable general needs housing for those looking to downsize from family housing and the full range of retirement and specialised housing for those with support or care needs.</w:t>
      </w:r>
    </w:p>
    <w:p w:rsidR="00AC41F0" w:rsidRPr="00A50BD6" w:rsidRDefault="00AC41F0" w:rsidP="00AC41F0">
      <w:pPr>
        <w:pStyle w:val="BodyText"/>
        <w:jc w:val="both"/>
        <w:rPr>
          <w:b/>
          <w:sz w:val="18"/>
          <w:szCs w:val="18"/>
        </w:rPr>
      </w:pPr>
      <w:r w:rsidRPr="00A50BD6">
        <w:rPr>
          <w:b/>
          <w:sz w:val="18"/>
          <w:szCs w:val="18"/>
        </w:rPr>
        <w:t>Output Area/Lower Super Output Area/Middle Super Output Area</w:t>
      </w:r>
    </w:p>
    <w:p w:rsidR="00AC41F0" w:rsidRDefault="00AC41F0" w:rsidP="00AC41F0">
      <w:pPr>
        <w:pStyle w:val="BodyText"/>
        <w:jc w:val="both"/>
        <w:rPr>
          <w:sz w:val="18"/>
          <w:szCs w:val="18"/>
        </w:rPr>
      </w:pPr>
      <w:r w:rsidRPr="00A50BD6">
        <w:rPr>
          <w:sz w:val="18"/>
          <w:szCs w:val="18"/>
        </w:rPr>
        <w:t>An output area is the lowest level of geography for publishing statistics, and is the core geography from which statistics for other geographies are built. Output areas were created for England and Wales from the 2001 Census data, by grouping a number of households and populations together so that each output area's population is roughly the same. 175,434 output areas were created from the 2001 Census data, each containing a minimum of 100 persons with an average of 300 persons.  Lower Super Output Areas consist of higher geographies of between 1,000-1,500 persons (made up of a number of individual Output Areas) and Middle Super Output Areas are higher than this, containing between 5,000 and 7,200 people, and made up of individual Lower Layer Super Output Areas. Some statistics are only available down to Middle Layer Super Output Area level, meaning that they are not available for individual Output Areas or parishes.</w:t>
      </w:r>
    </w:p>
    <w:p w:rsidR="00AC41F0" w:rsidRPr="00A50BD6" w:rsidRDefault="00AC41F0" w:rsidP="00AC41F0">
      <w:pPr>
        <w:pStyle w:val="BodyText"/>
        <w:jc w:val="both"/>
        <w:rPr>
          <w:b/>
          <w:sz w:val="18"/>
          <w:szCs w:val="18"/>
        </w:rPr>
      </w:pPr>
      <w:r w:rsidRPr="00A50BD6">
        <w:rPr>
          <w:b/>
          <w:sz w:val="18"/>
          <w:szCs w:val="18"/>
        </w:rPr>
        <w:t>Overcrowding</w:t>
      </w:r>
    </w:p>
    <w:p w:rsidR="00AC41F0" w:rsidRPr="00A50BD6" w:rsidRDefault="00AC41F0" w:rsidP="00AC41F0">
      <w:pPr>
        <w:pStyle w:val="BodyText"/>
        <w:jc w:val="both"/>
        <w:rPr>
          <w:sz w:val="18"/>
          <w:szCs w:val="18"/>
        </w:rPr>
      </w:pPr>
      <w:r w:rsidRPr="00A50BD6">
        <w:rPr>
          <w:sz w:val="18"/>
          <w:szCs w:val="18"/>
        </w:rPr>
        <w:t>There is no single agreed definition of overcrowding, however, utilising the Government’s bedroom standard, overcrowding is deemed to be in households where there is more than one person in the household per room (excluding kitchens, bathrooms, halls and storage areas). As such, a home with one bedroom and one living room and one kitchen would be deemed overcrowded if three adults were living there.</w:t>
      </w:r>
    </w:p>
    <w:p w:rsidR="00AC41F0" w:rsidRPr="00A50BD6" w:rsidRDefault="00AC41F0" w:rsidP="00AC41F0">
      <w:pPr>
        <w:pStyle w:val="BodyText"/>
        <w:jc w:val="both"/>
        <w:rPr>
          <w:b/>
          <w:sz w:val="18"/>
          <w:szCs w:val="18"/>
        </w:rPr>
      </w:pPr>
      <w:r w:rsidRPr="00A50BD6">
        <w:rPr>
          <w:b/>
          <w:sz w:val="18"/>
          <w:szCs w:val="18"/>
        </w:rPr>
        <w:t>Planning Condition</w:t>
      </w:r>
    </w:p>
    <w:p w:rsidR="00AC41F0" w:rsidRPr="00A50BD6" w:rsidRDefault="00AC41F0" w:rsidP="00AC41F0">
      <w:pPr>
        <w:pStyle w:val="BodyText"/>
        <w:jc w:val="both"/>
        <w:rPr>
          <w:sz w:val="18"/>
          <w:szCs w:val="18"/>
        </w:rPr>
      </w:pPr>
      <w:r w:rsidRPr="00A50BD6">
        <w:rPr>
          <w:sz w:val="18"/>
          <w:szCs w:val="18"/>
        </w:rPr>
        <w:t>A condition imposed on a grant of planning permission (in accordance with the Town and Country Planning Act 1990) or a condition included in a Local Development Order or Neighbourhood Development Order.</w:t>
      </w:r>
    </w:p>
    <w:p w:rsidR="00AC41F0" w:rsidRPr="00A50BD6" w:rsidRDefault="00AC41F0" w:rsidP="00AC41F0">
      <w:pPr>
        <w:pStyle w:val="BodyText"/>
        <w:jc w:val="both"/>
        <w:rPr>
          <w:b/>
          <w:sz w:val="18"/>
          <w:szCs w:val="18"/>
        </w:rPr>
      </w:pPr>
      <w:r w:rsidRPr="00A50BD6">
        <w:rPr>
          <w:b/>
          <w:sz w:val="18"/>
          <w:szCs w:val="18"/>
        </w:rPr>
        <w:t>Planning Obligation</w:t>
      </w:r>
    </w:p>
    <w:p w:rsidR="00AC41F0" w:rsidRPr="00A50BD6" w:rsidRDefault="00AC41F0" w:rsidP="00AC41F0">
      <w:pPr>
        <w:pStyle w:val="BodyText"/>
        <w:jc w:val="both"/>
        <w:rPr>
          <w:sz w:val="18"/>
          <w:szCs w:val="18"/>
        </w:rPr>
      </w:pPr>
      <w:r w:rsidRPr="00A50BD6">
        <w:rPr>
          <w:sz w:val="18"/>
          <w:szCs w:val="18"/>
        </w:rPr>
        <w:t>A legally enforceable obligation entered into under section 106 of the Town and Country Planning Act 1990 to mitigate the impacts of a development proposal.</w:t>
      </w:r>
    </w:p>
    <w:p w:rsidR="00AC41F0" w:rsidRPr="00A50BD6" w:rsidRDefault="00AC41F0" w:rsidP="00AC41F0">
      <w:pPr>
        <w:pStyle w:val="BodyText"/>
        <w:jc w:val="both"/>
        <w:rPr>
          <w:b/>
          <w:sz w:val="18"/>
          <w:szCs w:val="18"/>
        </w:rPr>
      </w:pPr>
      <w:r w:rsidRPr="00A50BD6">
        <w:rPr>
          <w:b/>
          <w:sz w:val="18"/>
          <w:szCs w:val="18"/>
        </w:rPr>
        <w:t>Purchase Threshold</w:t>
      </w:r>
    </w:p>
    <w:p w:rsidR="00AC41F0" w:rsidRDefault="00AC41F0" w:rsidP="00AC41F0">
      <w:pPr>
        <w:pStyle w:val="BodyText"/>
        <w:jc w:val="both"/>
        <w:rPr>
          <w:sz w:val="18"/>
          <w:szCs w:val="18"/>
        </w:rPr>
      </w:pPr>
      <w:r w:rsidRPr="00A50BD6">
        <w:rPr>
          <w:sz w:val="18"/>
          <w:szCs w:val="18"/>
        </w:rPr>
        <w:t xml:space="preserve">Purchase thresholds are calculated by netting 10% off the entry house price to reflect purchase deposit. The resulting cost is divided by 4 to reflect the standard household income requirement to access mortgage products. </w:t>
      </w:r>
    </w:p>
    <w:p w:rsidR="00AC41F0" w:rsidRDefault="00AC41F0" w:rsidP="00AC41F0">
      <w:pPr>
        <w:pStyle w:val="BodyText"/>
        <w:jc w:val="both"/>
        <w:rPr>
          <w:sz w:val="18"/>
          <w:szCs w:val="18"/>
        </w:rPr>
      </w:pPr>
    </w:p>
    <w:p w:rsidR="00AC41F0" w:rsidRPr="00A50BD6" w:rsidRDefault="00AC41F0" w:rsidP="00AC41F0">
      <w:pPr>
        <w:pStyle w:val="BodyText"/>
        <w:jc w:val="both"/>
        <w:rPr>
          <w:sz w:val="18"/>
          <w:szCs w:val="18"/>
        </w:rPr>
      </w:pPr>
    </w:p>
    <w:p w:rsidR="00AC41F0" w:rsidRPr="00A50BD6" w:rsidRDefault="00AC41F0" w:rsidP="00AC41F0">
      <w:pPr>
        <w:pStyle w:val="BodyText"/>
        <w:jc w:val="both"/>
        <w:rPr>
          <w:b/>
          <w:sz w:val="18"/>
          <w:szCs w:val="18"/>
        </w:rPr>
      </w:pPr>
      <w:r w:rsidRPr="00A50BD6">
        <w:rPr>
          <w:b/>
          <w:sz w:val="18"/>
          <w:szCs w:val="18"/>
        </w:rPr>
        <w:lastRenderedPageBreak/>
        <w:t xml:space="preserve">Proportionate and Robust Evidence </w:t>
      </w:r>
    </w:p>
    <w:p w:rsidR="00AC41F0" w:rsidRPr="00A50BD6" w:rsidRDefault="00AC41F0" w:rsidP="00AC41F0">
      <w:pPr>
        <w:pStyle w:val="BodyText"/>
        <w:jc w:val="both"/>
        <w:rPr>
          <w:sz w:val="18"/>
          <w:szCs w:val="18"/>
        </w:rPr>
      </w:pPr>
      <w:r w:rsidRPr="00A50BD6">
        <w:rPr>
          <w:sz w:val="18"/>
          <w:szCs w:val="18"/>
        </w:rPr>
        <w:t xml:space="preserve">Proportionate and robust evidence is evidence which is deemed appropriate in scale, scope and depth for the purposes of neighbourhood planning, sufficient so as to meet the Basic Conditions, as well as robust enough to withstand legal challenge. It is referred to a number of times in the PPG and its definition and interpretation relies on the judgement of professionals such as Neighbourhood Plan Examiners. </w:t>
      </w:r>
    </w:p>
    <w:p w:rsidR="00AC41F0" w:rsidRPr="00A50BD6" w:rsidRDefault="00AC41F0" w:rsidP="00AC41F0">
      <w:pPr>
        <w:pStyle w:val="BodyText"/>
        <w:jc w:val="both"/>
        <w:rPr>
          <w:b/>
          <w:sz w:val="18"/>
          <w:szCs w:val="18"/>
        </w:rPr>
      </w:pPr>
      <w:r w:rsidRPr="00A50BD6">
        <w:rPr>
          <w:b/>
          <w:sz w:val="18"/>
          <w:szCs w:val="18"/>
        </w:rPr>
        <w:t>Private Rented</w:t>
      </w:r>
    </w:p>
    <w:p w:rsidR="00AC41F0" w:rsidRPr="00A50BD6" w:rsidRDefault="00AC41F0" w:rsidP="00AC41F0">
      <w:pPr>
        <w:pStyle w:val="BodyText"/>
        <w:jc w:val="both"/>
        <w:rPr>
          <w:sz w:val="18"/>
          <w:szCs w:val="18"/>
        </w:rPr>
      </w:pPr>
      <w:r w:rsidRPr="00A50BD6">
        <w:rPr>
          <w:sz w:val="18"/>
          <w:szCs w:val="18"/>
        </w:rPr>
        <w:t>The Census tenure private rented includes a range of different living situations in practice, such as private rented/ other including households living “rent free”. Around 20% of the private rented sector are in this category, which will have included some benefit claimants whose housing benefit at the time was paid directly to their landlord. This could mean people whose rent is paid by their employer, including some people in the armed forces. Some housing association tenants may also have been counted as living in the private rented sector because of confusion about what a housing association is.</w:t>
      </w:r>
    </w:p>
    <w:p w:rsidR="00AC41F0" w:rsidRDefault="00AC41F0" w:rsidP="00AC41F0">
      <w:pPr>
        <w:pStyle w:val="BodyText"/>
        <w:jc w:val="both"/>
        <w:rPr>
          <w:b/>
          <w:sz w:val="18"/>
          <w:szCs w:val="18"/>
        </w:rPr>
      </w:pPr>
      <w:r w:rsidRPr="00047BE3">
        <w:rPr>
          <w:b/>
          <w:sz w:val="18"/>
          <w:szCs w:val="18"/>
        </w:rPr>
        <w:t xml:space="preserve">Retirement Living </w:t>
      </w:r>
      <w:r>
        <w:rPr>
          <w:b/>
          <w:sz w:val="18"/>
          <w:szCs w:val="18"/>
        </w:rPr>
        <w:t>o</w:t>
      </w:r>
      <w:r w:rsidRPr="00047BE3">
        <w:rPr>
          <w:b/>
          <w:sz w:val="18"/>
          <w:szCs w:val="18"/>
        </w:rPr>
        <w:t>r Sheltered Housing</w:t>
      </w:r>
    </w:p>
    <w:p w:rsidR="00AC41F0" w:rsidRDefault="00AC41F0" w:rsidP="00AC41F0">
      <w:pPr>
        <w:pStyle w:val="BodyText"/>
        <w:jc w:val="both"/>
        <w:rPr>
          <w:sz w:val="18"/>
          <w:szCs w:val="18"/>
        </w:rPr>
      </w:pPr>
      <w:r>
        <w:rPr>
          <w:sz w:val="18"/>
          <w:szCs w:val="18"/>
        </w:rPr>
        <w:t xml:space="preserve">Housing for older people which </w:t>
      </w:r>
      <w:r w:rsidRPr="00047BE3">
        <w:rPr>
          <w:sz w:val="18"/>
          <w:szCs w:val="18"/>
        </w:rPr>
        <w:t>usually consists of purpose-built flats or bungalows with limited communal facilities such as a lounge, laundry room and guest room. It does not generally provide care services, but provides some support to enable residents to live independently. This can include 24 hour on-site assistance (alarm) and a warden or house manager.</w:t>
      </w:r>
    </w:p>
    <w:p w:rsidR="00AC41F0" w:rsidRPr="00047BE3" w:rsidRDefault="00AC41F0" w:rsidP="00AC41F0">
      <w:pPr>
        <w:pStyle w:val="BodyText"/>
        <w:jc w:val="both"/>
        <w:rPr>
          <w:b/>
          <w:sz w:val="18"/>
          <w:szCs w:val="18"/>
        </w:rPr>
      </w:pPr>
      <w:r w:rsidRPr="00047BE3">
        <w:rPr>
          <w:b/>
          <w:sz w:val="18"/>
          <w:szCs w:val="18"/>
        </w:rPr>
        <w:t xml:space="preserve">Residential Care Homes </w:t>
      </w:r>
      <w:r>
        <w:rPr>
          <w:b/>
          <w:sz w:val="18"/>
          <w:szCs w:val="18"/>
        </w:rPr>
        <w:t>a</w:t>
      </w:r>
      <w:r w:rsidRPr="00047BE3">
        <w:rPr>
          <w:b/>
          <w:sz w:val="18"/>
          <w:szCs w:val="18"/>
        </w:rPr>
        <w:t>nd Nursing Homes</w:t>
      </w:r>
    </w:p>
    <w:p w:rsidR="00AC41F0" w:rsidRPr="00047BE3" w:rsidRDefault="00AC41F0" w:rsidP="00AC41F0">
      <w:pPr>
        <w:pStyle w:val="BodyText"/>
        <w:jc w:val="both"/>
        <w:rPr>
          <w:sz w:val="18"/>
          <w:szCs w:val="18"/>
        </w:rPr>
      </w:pPr>
      <w:r>
        <w:rPr>
          <w:sz w:val="18"/>
          <w:szCs w:val="18"/>
        </w:rPr>
        <w:t>Housing for older people comprising of</w:t>
      </w:r>
      <w:r w:rsidRPr="00047BE3">
        <w:rPr>
          <w:sz w:val="18"/>
          <w:szCs w:val="18"/>
        </w:rPr>
        <w:t xml:space="preserve"> individual rooms within a residential building and provide a high level of care meeting all activities of daily living. They do not usually include support services for independent living. This type of housing can also include dementia care homes.</w:t>
      </w:r>
    </w:p>
    <w:p w:rsidR="0040775E" w:rsidRDefault="0040775E" w:rsidP="00AC41F0">
      <w:pPr>
        <w:pStyle w:val="BodyText"/>
        <w:jc w:val="both"/>
        <w:rPr>
          <w:b/>
          <w:sz w:val="18"/>
          <w:szCs w:val="18"/>
        </w:rPr>
      </w:pPr>
      <w:r>
        <w:rPr>
          <w:b/>
          <w:sz w:val="18"/>
          <w:szCs w:val="18"/>
        </w:rPr>
        <w:t>Rightsizing</w:t>
      </w:r>
    </w:p>
    <w:p w:rsidR="0040775E" w:rsidRPr="0040775E" w:rsidRDefault="0040775E" w:rsidP="00AC41F0">
      <w:pPr>
        <w:pStyle w:val="BodyText"/>
        <w:jc w:val="both"/>
        <w:rPr>
          <w:sz w:val="18"/>
          <w:szCs w:val="18"/>
        </w:rPr>
      </w:pPr>
      <w:r>
        <w:rPr>
          <w:sz w:val="18"/>
          <w:szCs w:val="18"/>
        </w:rPr>
        <w:t xml:space="preserve">Households who wish to move into a property that is a more appropriate size for their needs can be said to be rightsizing. This is often used to refer to older households who may be living in large family homes but whose children have left, and who intend to </w:t>
      </w:r>
      <w:proofErr w:type="spellStart"/>
      <w:r>
        <w:rPr>
          <w:sz w:val="18"/>
          <w:szCs w:val="18"/>
        </w:rPr>
        <w:t>rightsize</w:t>
      </w:r>
      <w:proofErr w:type="spellEnd"/>
      <w:r>
        <w:rPr>
          <w:sz w:val="18"/>
          <w:szCs w:val="18"/>
        </w:rPr>
        <w:t xml:space="preserve"> to a smaller dwelling. The popularity of this trend is debatable as ties to existing communities and the home itself may outweigh issues of space. Other factors, including wealth, health, status and family circumstance also need to be taken into consideration, and it should not be assumed that all older households in large dwellings wish to </w:t>
      </w:r>
      <w:proofErr w:type="spellStart"/>
      <w:r>
        <w:rPr>
          <w:sz w:val="18"/>
          <w:szCs w:val="18"/>
        </w:rPr>
        <w:t>rightsize</w:t>
      </w:r>
      <w:proofErr w:type="spellEnd"/>
      <w:r>
        <w:rPr>
          <w:sz w:val="18"/>
          <w:szCs w:val="18"/>
        </w:rPr>
        <w:t>.</w:t>
      </w:r>
    </w:p>
    <w:p w:rsidR="00AC41F0" w:rsidRPr="00A50BD6" w:rsidRDefault="00AC41F0" w:rsidP="00AC41F0">
      <w:pPr>
        <w:pStyle w:val="BodyText"/>
        <w:jc w:val="both"/>
        <w:rPr>
          <w:b/>
          <w:sz w:val="18"/>
          <w:szCs w:val="18"/>
        </w:rPr>
      </w:pPr>
      <w:r w:rsidRPr="00A50BD6">
        <w:rPr>
          <w:b/>
          <w:sz w:val="18"/>
          <w:szCs w:val="18"/>
        </w:rPr>
        <w:t>Rural Exception Sites</w:t>
      </w:r>
    </w:p>
    <w:p w:rsidR="00AC41F0" w:rsidRPr="00404758" w:rsidRDefault="00AC41F0" w:rsidP="00AC41F0">
      <w:pPr>
        <w:pStyle w:val="BodyText"/>
        <w:jc w:val="both"/>
        <w:rPr>
          <w:sz w:val="18"/>
          <w:szCs w:val="18"/>
        </w:rPr>
      </w:pPr>
      <w:r w:rsidRPr="00A50BD6">
        <w:rPr>
          <w:sz w:val="18"/>
          <w:szCs w:val="18"/>
        </w:rPr>
        <w:t>Small sites used for affordable housing in perpetuity where sites would not normally be used for housing. Rural exception sites seek to address the needs of the local community by accommodating households who are either current residents or have an existing family or employment connection. Small numbers of market homes may be allowed at the local authority’s discretion, for example where essential to enable the delivery of affordable dwellings without grant funding.</w:t>
      </w:r>
    </w:p>
    <w:p w:rsidR="00AC41F0" w:rsidRPr="00A50BD6" w:rsidRDefault="00AC41F0" w:rsidP="00AC41F0">
      <w:pPr>
        <w:pStyle w:val="BodyText"/>
        <w:jc w:val="both"/>
        <w:rPr>
          <w:b/>
          <w:sz w:val="18"/>
          <w:szCs w:val="18"/>
        </w:rPr>
      </w:pPr>
      <w:r w:rsidRPr="00A50BD6">
        <w:rPr>
          <w:b/>
          <w:sz w:val="18"/>
          <w:szCs w:val="18"/>
        </w:rPr>
        <w:t>Shared Ownership</w:t>
      </w:r>
    </w:p>
    <w:p w:rsidR="00AC41F0" w:rsidRPr="00A50BD6" w:rsidRDefault="00AC41F0" w:rsidP="00AC41F0">
      <w:pPr>
        <w:pStyle w:val="BodyText"/>
        <w:jc w:val="both"/>
        <w:rPr>
          <w:sz w:val="18"/>
          <w:szCs w:val="18"/>
        </w:rPr>
      </w:pPr>
      <w:r w:rsidRPr="00A50BD6">
        <w:rPr>
          <w:sz w:val="18"/>
          <w:szCs w:val="18"/>
        </w:rPr>
        <w:t>Housing where a purchaser part buys and part rents from a housing association or local authority. Typical purchase share is between 25% and 75%, and buyers are encouraged to buy the largest share they can afford. Generally applies to new build properties, but re</w:t>
      </w:r>
      <w:r w:rsidRPr="00A50BD6">
        <w:rPr>
          <w:rFonts w:ascii="Cambria Math" w:hAnsi="Cambria Math" w:cs="Cambria Math"/>
          <w:sz w:val="18"/>
          <w:szCs w:val="18"/>
        </w:rPr>
        <w:t>‐</w:t>
      </w:r>
      <w:r w:rsidRPr="00A50BD6">
        <w:rPr>
          <w:sz w:val="18"/>
          <w:szCs w:val="18"/>
        </w:rPr>
        <w:t>sales occasionally become available. There may be an opportunity to rent at intermediate rent level before purchasing a share in order to save/increase the deposit level</w:t>
      </w:r>
    </w:p>
    <w:p w:rsidR="00AC41F0" w:rsidRPr="00A50BD6" w:rsidRDefault="00AC41F0" w:rsidP="00AC41F0">
      <w:pPr>
        <w:pStyle w:val="BodyText"/>
        <w:jc w:val="both"/>
        <w:rPr>
          <w:b/>
          <w:sz w:val="18"/>
          <w:szCs w:val="18"/>
        </w:rPr>
      </w:pPr>
      <w:r w:rsidRPr="00A50BD6">
        <w:rPr>
          <w:b/>
          <w:sz w:val="18"/>
          <w:szCs w:val="18"/>
        </w:rPr>
        <w:t>Sheltered Housing</w:t>
      </w:r>
      <w:r w:rsidRPr="00A50BD6">
        <w:rPr>
          <w:rStyle w:val="FootnoteReference"/>
          <w:b/>
          <w:sz w:val="18"/>
          <w:szCs w:val="18"/>
        </w:rPr>
        <w:footnoteReference w:id="36"/>
      </w:r>
    </w:p>
    <w:p w:rsidR="00AC41F0" w:rsidRPr="00A50BD6" w:rsidRDefault="00AC41F0" w:rsidP="00AC41F0">
      <w:pPr>
        <w:pStyle w:val="BodyText"/>
        <w:jc w:val="both"/>
        <w:rPr>
          <w:sz w:val="18"/>
          <w:szCs w:val="18"/>
        </w:rPr>
      </w:pPr>
      <w:r w:rsidRPr="00A50BD6">
        <w:rPr>
          <w:sz w:val="18"/>
          <w:szCs w:val="18"/>
        </w:rPr>
        <w:t xml:space="preserve">Sheltered housing (also known as retirement housing) means having your own flat or bungalow in a block, or on a small estate, where all the other residents are older people (usually over 55). With a few exceptions, all developments (or 'schemes') provide independent, self-contained homes with their own front doors. There are many different types of scheme, both to rent and to buy. They usually contain between 15 and 40 properties, and range in size from studio flats (or 'bedsits') through to 2 and 3 bedroomed. Properties in most schemes are designed to make life a little easier for older people - with features like raised electric sockets, lowered worktops, walk-in showers, and so on. Some will usually be </w:t>
      </w:r>
      <w:r w:rsidRPr="00A50BD6">
        <w:rPr>
          <w:sz w:val="18"/>
          <w:szCs w:val="18"/>
        </w:rPr>
        <w:lastRenderedPageBreak/>
        <w:t>designed to accommodate wheelchair users. And they are usually linked to an emergency alarm service (sometimes called 'community alarm service') to call help if needed. Many schemes also have their own 'manager' or 'warden', either living on-site or nearby, whose job is to manage the scheme and help arrange any services residents need. Managed schemes will also usually have some shared or communal facilities such as a lounge for residents to meet, a laundry, a guest flat and a garden.</w:t>
      </w:r>
    </w:p>
    <w:p w:rsidR="00AC41F0" w:rsidRPr="00A50BD6" w:rsidRDefault="00AC41F0" w:rsidP="00AC41F0">
      <w:pPr>
        <w:pStyle w:val="BodyText"/>
        <w:jc w:val="both"/>
        <w:rPr>
          <w:b/>
          <w:bCs/>
          <w:sz w:val="18"/>
          <w:szCs w:val="18"/>
        </w:rPr>
      </w:pPr>
      <w:r w:rsidRPr="00A50BD6">
        <w:rPr>
          <w:b/>
          <w:bCs/>
          <w:sz w:val="18"/>
          <w:szCs w:val="18"/>
        </w:rPr>
        <w:t xml:space="preserve">Strategic Housing Land Availability Assessment </w:t>
      </w:r>
    </w:p>
    <w:p w:rsidR="00AC41F0" w:rsidRPr="00A50BD6" w:rsidRDefault="00AC41F0" w:rsidP="00AC41F0">
      <w:pPr>
        <w:pStyle w:val="BodyText"/>
        <w:jc w:val="both"/>
        <w:rPr>
          <w:sz w:val="18"/>
          <w:szCs w:val="18"/>
        </w:rPr>
      </w:pPr>
      <w:r w:rsidRPr="00A50BD6">
        <w:rPr>
          <w:sz w:val="18"/>
          <w:szCs w:val="18"/>
        </w:rPr>
        <w:t>A Strategic Housing Land Availability Assessment (SHLAA) is a document prepared by one or more local planning authorities to establish realistic assumptions about the availability, suitability and the likely economic viability of land to meet the identi</w:t>
      </w:r>
      <w:r>
        <w:rPr>
          <w:sz w:val="18"/>
          <w:szCs w:val="18"/>
        </w:rPr>
        <w:t>fied need for housing over the P</w:t>
      </w:r>
      <w:r w:rsidRPr="00A50BD6">
        <w:rPr>
          <w:sz w:val="18"/>
          <w:szCs w:val="18"/>
        </w:rPr>
        <w:t>lan period.  SHLAAs are sometimes also called LAAs (Land Availability Assessments) or HELAAs (Housing and Economic Land Availability Assessments) so as to integrate the need to balance assessed housing and economic needs as described below.</w:t>
      </w:r>
    </w:p>
    <w:p w:rsidR="00AC41F0" w:rsidRPr="00A50BD6" w:rsidRDefault="00AC41F0" w:rsidP="00AC41F0">
      <w:pPr>
        <w:pStyle w:val="BodyText"/>
        <w:jc w:val="both"/>
        <w:rPr>
          <w:b/>
          <w:sz w:val="18"/>
          <w:szCs w:val="18"/>
        </w:rPr>
      </w:pPr>
      <w:r w:rsidRPr="00A50BD6">
        <w:rPr>
          <w:b/>
          <w:bCs/>
          <w:sz w:val="18"/>
          <w:szCs w:val="18"/>
        </w:rPr>
        <w:t>Strategic Housing Market Assessment (NPPF Definition)</w:t>
      </w:r>
    </w:p>
    <w:p w:rsidR="00AC41F0" w:rsidRPr="00A50BD6" w:rsidRDefault="00AC41F0" w:rsidP="00AC41F0">
      <w:pPr>
        <w:pStyle w:val="BodyText"/>
        <w:jc w:val="both"/>
        <w:rPr>
          <w:sz w:val="18"/>
          <w:szCs w:val="18"/>
        </w:rPr>
      </w:pPr>
      <w:r w:rsidRPr="00A50BD6">
        <w:rPr>
          <w:sz w:val="18"/>
          <w:szCs w:val="18"/>
        </w:rPr>
        <w:t>A Strategic Housing Market Assessment (SHMA) is a document prepared by one or more local planning authorities to assess their housing needs under the 2012 version of the NPPF, usually across administrative boundaries to encompass the whole housing market area. The NPPF makes clear that SHMAs should identify the scale and mix of housing and the range of tenures the local populat</w:t>
      </w:r>
      <w:r>
        <w:rPr>
          <w:sz w:val="18"/>
          <w:szCs w:val="18"/>
        </w:rPr>
        <w:t>ion is likely to need over the P</w:t>
      </w:r>
      <w:r w:rsidRPr="00A50BD6">
        <w:rPr>
          <w:sz w:val="18"/>
          <w:szCs w:val="18"/>
        </w:rPr>
        <w:t>lan period. Sometimes SHMAs are combined with Economic Development Needs Assessments to create documents known as HEDNAs (Housing and Economic Development Needs Assessments).</w:t>
      </w:r>
    </w:p>
    <w:p w:rsidR="00AC41F0" w:rsidRPr="00A50BD6" w:rsidRDefault="00AC41F0" w:rsidP="00AC41F0">
      <w:pPr>
        <w:pStyle w:val="BodyText"/>
        <w:jc w:val="both"/>
        <w:rPr>
          <w:b/>
          <w:sz w:val="18"/>
          <w:szCs w:val="18"/>
        </w:rPr>
      </w:pPr>
      <w:r w:rsidRPr="00A50BD6">
        <w:rPr>
          <w:b/>
          <w:sz w:val="18"/>
          <w:szCs w:val="18"/>
        </w:rPr>
        <w:t>Specialist Housing for the Elderly</w:t>
      </w:r>
    </w:p>
    <w:p w:rsidR="00AC41F0" w:rsidRPr="00A50BD6" w:rsidRDefault="00AC41F0" w:rsidP="00AC41F0">
      <w:pPr>
        <w:pStyle w:val="BodyText"/>
        <w:jc w:val="both"/>
        <w:rPr>
          <w:sz w:val="18"/>
          <w:szCs w:val="18"/>
        </w:rPr>
      </w:pPr>
      <w:r w:rsidRPr="00A50BD6">
        <w:rPr>
          <w:sz w:val="18"/>
          <w:szCs w:val="18"/>
        </w:rPr>
        <w:t>Specialist housing for the elderly, sometimes known as specialist accommodation for the elderly, encompasses a wide range of housing types specifically aimed at older people, which may often be restricted to those in certain older age groups (usually 55+ or 65+). This could include residential institutions, sometimes known as care homes, sheltered housing, extra care housing, retirement housing and a range of other potential types of housing which has been designed and built to serve the needs of older people, including often providing care or other additional services. This housing can be provided in a range of tenures (often on a rented or leasehold basis).</w:t>
      </w:r>
    </w:p>
    <w:p w:rsidR="00AC41F0" w:rsidRPr="00A50BD6" w:rsidRDefault="00AC41F0" w:rsidP="00AC41F0">
      <w:pPr>
        <w:pStyle w:val="BodyText"/>
        <w:jc w:val="both"/>
        <w:rPr>
          <w:b/>
          <w:sz w:val="18"/>
          <w:szCs w:val="18"/>
        </w:rPr>
      </w:pPr>
      <w:r w:rsidRPr="00A50BD6">
        <w:rPr>
          <w:b/>
          <w:sz w:val="18"/>
          <w:szCs w:val="18"/>
        </w:rPr>
        <w:t>Social Rented Housing</w:t>
      </w:r>
    </w:p>
    <w:p w:rsidR="00AC41F0" w:rsidRPr="00A50BD6" w:rsidRDefault="00AC41F0" w:rsidP="00AC41F0">
      <w:pPr>
        <w:spacing w:before="0" w:after="0" w:line="240" w:lineRule="auto"/>
        <w:jc w:val="both"/>
        <w:rPr>
          <w:sz w:val="18"/>
          <w:szCs w:val="18"/>
        </w:rPr>
      </w:pPr>
      <w:r w:rsidRPr="00A50BD6">
        <w:rPr>
          <w:sz w:val="18"/>
          <w:szCs w:val="18"/>
        </w:rPr>
        <w:t>Social rented housing is owned by local authorities and private registered providers (as defined in Section 80 of the Housing and Regeneration Act 2008.). Guideline target rents for this tenure are determined through the national rent regime. It may also be owned by other persons and provided under equivalent rental arrangements to the above, as agreed with the local authority or with Homes England.</w:t>
      </w:r>
      <w:r w:rsidRPr="00A50BD6">
        <w:rPr>
          <w:rStyle w:val="FootnoteReference"/>
          <w:sz w:val="18"/>
          <w:szCs w:val="18"/>
        </w:rPr>
        <w:footnoteReference w:id="37"/>
      </w:r>
    </w:p>
    <w:p w:rsidR="00AC41F0" w:rsidRDefault="00AC41F0" w:rsidP="00AC41F0">
      <w:pPr>
        <w:spacing w:before="0" w:after="0" w:line="240" w:lineRule="auto"/>
        <w:jc w:val="both"/>
      </w:pPr>
      <w:r>
        <w:br w:type="page"/>
      </w:r>
    </w:p>
    <w:p w:rsidR="002C2D5C" w:rsidRPr="004F6A79" w:rsidRDefault="002C2D5C" w:rsidP="002C2D5C">
      <w:pPr>
        <w:pStyle w:val="BodyText"/>
        <w:jc w:val="both"/>
        <w:sectPr w:rsidR="002C2D5C" w:rsidRPr="004F6A79" w:rsidSect="00273002">
          <w:pgSz w:w="11907" w:h="16839" w:code="9"/>
          <w:pgMar w:top="1440" w:right="1080" w:bottom="1080" w:left="993" w:header="432" w:footer="432" w:gutter="0"/>
          <w:cols w:space="720"/>
          <w:docGrid w:linePitch="360"/>
        </w:sectPr>
      </w:pPr>
    </w:p>
    <w:p w:rsidR="002C2D5C" w:rsidRPr="00B90B1C" w:rsidRDefault="001A69AC" w:rsidP="002C2D5C">
      <w:pPr>
        <w:pStyle w:val="BodyText"/>
        <w:jc w:val="both"/>
        <w:rPr>
          <w:lang w:val="en-US"/>
        </w:rPr>
      </w:pPr>
      <w:r>
        <w:rPr>
          <w:noProof/>
        </w:rPr>
        <w:lastRenderedPageBreak/>
        <w:pict>
          <v:rect id="BackCoverBlue" o:spid="_x0000_s1028" style="position:absolute;left:0;text-align:left;margin-left:1.5pt;margin-top:-1.5pt;width:477.85pt;height:850.5pt;z-index:-251655168;visibility:visible;mso-width-percent:1000;mso-position-horizontal-relative:page;mso-position-vertical-relative:page;mso-width-percent:1000;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" o:allowincell="f" o:allowoverlap="f" fillcolor="#00b5e2" stroked="f" strokeweight="2pt">
            <w10:wrap anchorx="page" anchory="page"/>
          </v:rect>
        </w:pict>
      </w:r>
    </w:p>
    <w:p w:rsidR="002C2D5C" w:rsidRDefault="002C2D5C" w:rsidP="002C2D5C">
      <w:pPr>
        <w:pStyle w:val="BodyText"/>
        <w:jc w:val="both"/>
      </w:pPr>
    </w:p>
    <w:p w:rsidR="002C2D5C" w:rsidRPr="003B18BF" w:rsidRDefault="002C2D5C" w:rsidP="002C2D5C">
      <w:pPr>
        <w:pStyle w:val="BodyText"/>
        <w:jc w:val="both"/>
      </w:pPr>
    </w:p>
    <w:p w:rsidR="002C2D5C" w:rsidRDefault="002C2D5C" w:rsidP="002C2D5C">
      <w:pPr>
        <w:jc w:val="both"/>
      </w:pPr>
    </w:p>
    <w:p w:rsidR="002C2D5C" w:rsidRDefault="002C2D5C" w:rsidP="002C2D5C">
      <w:pPr>
        <w:pStyle w:val="BodyText"/>
        <w:jc w:val="both"/>
      </w:pPr>
    </w:p>
    <w:p w:rsidR="002C2D5C" w:rsidRDefault="002C2D5C" w:rsidP="002C2D5C">
      <w:pPr>
        <w:jc w:val="both"/>
      </w:pPr>
    </w:p>
    <w:p w:rsidR="002C2D5C" w:rsidRPr="005137B7" w:rsidRDefault="002C2D5C" w:rsidP="002C2D5C">
      <w:pPr>
        <w:jc w:val="both"/>
      </w:pPr>
    </w:p>
    <w:p w:rsidR="00493CF1" w:rsidRPr="002C2D5C" w:rsidRDefault="00493CF1" w:rsidP="002C2D5C"/>
    <w:sectPr w:rsidR="00493CF1" w:rsidRPr="002C2D5C" w:rsidSect="007B1029">
      <w:headerReference w:type="default" r:id="rId24"/>
      <w:pgSz w:w="11906" w:h="16838"/>
      <w:pgMar w:top="1134" w:right="1440" w:bottom="851" w:left="1440" w:header="426" w:footer="28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3149" w:rsidRDefault="008D3149" w:rsidP="00253171">
      <w:pPr>
        <w:spacing w:line="240" w:lineRule="auto"/>
      </w:pPr>
      <w:r>
        <w:separator/>
      </w:r>
    </w:p>
  </w:endnote>
  <w:endnote w:type="continuationSeparator" w:id="0">
    <w:p w:rsidR="008D3149" w:rsidRDefault="008D3149" w:rsidP="0025317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altName w:val="黑体"/>
    <w:panose1 w:val="02010609060101010101"/>
    <w:charset w:val="86"/>
    <w:family w:val="modern"/>
    <w:notTrueType/>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47C5" w:rsidRDefault="004747C5" w:rsidP="00C378B2"/>
  <w:tbl>
    <w:tblPr>
      <w:tblStyle w:val="Plaingrid"/>
      <w:tblW w:w="4819" w:type="pct"/>
      <w:tblLook w:val="04A0"/>
    </w:tblPr>
    <w:tblGrid>
      <w:gridCol w:w="5253"/>
      <w:gridCol w:w="3550"/>
    </w:tblGrid>
    <w:tr w:rsidR="004747C5" w:rsidRPr="00B965F1" w:rsidTr="008F6D54">
      <w:tc>
        <w:tcPr>
          <w:tcW w:w="5670" w:type="dxa"/>
        </w:tcPr>
        <w:p w:rsidR="004747C5" w:rsidRPr="00166D71" w:rsidRDefault="004747C5" w:rsidP="00C378B2">
          <w:pPr>
            <w:pStyle w:val="Footer"/>
          </w:pPr>
          <w:fldSimple w:instr=" DOCPROPERTY  PreparedFor \* MERGEFORMAT ">
            <w:r>
              <w:t xml:space="preserve"> </w:t>
            </w:r>
          </w:fldSimple>
          <w:r>
            <w:t xml:space="preserve"> </w:t>
          </w:r>
          <w:r>
            <w:fldChar w:fldCharType="begin"/>
          </w:r>
          <w:r>
            <w:instrText xml:space="preserve"> DOCPROPERTY  ClientName \* MERGEFORMAT </w:instrText>
          </w:r>
          <w:r>
            <w:fldChar w:fldCharType="end"/>
          </w:r>
          <w:r w:rsidRPr="00166D71">
            <w:t xml:space="preserve">  </w:t>
          </w:r>
          <w:fldSimple w:instr=" DOCPROPERTY  ClientNumber \* MERGEFORMAT ">
            <w:r>
              <w:t xml:space="preserve"> </w:t>
            </w:r>
          </w:fldSimple>
        </w:p>
        <w:p w:rsidR="004747C5" w:rsidRDefault="004747C5" w:rsidP="00C378B2">
          <w:pPr>
            <w:pStyle w:val="Footer"/>
          </w:pPr>
          <w:r>
            <w:fldChar w:fldCharType="begin"/>
          </w:r>
          <w:r>
            <w:instrText xml:space="preserve"> if </w:instrText>
          </w:r>
          <w:fldSimple w:instr=" DOCPROPERTY  ShowFilePath \* MERGEFORMAT ">
            <w:r>
              <w:instrText>0</w:instrText>
            </w:r>
          </w:fldSimple>
          <w:r>
            <w:instrText xml:space="preserve">  = 1  </w:instrText>
          </w:r>
          <w:fldSimple w:instr=" FILENAME \p   \* MERGEFORMAT ">
            <w:r>
              <w:instrText>Document2</w:instrText>
            </w:r>
          </w:fldSimple>
          <w:r>
            <w:instrText xml:space="preserve">  </w:instrText>
          </w:r>
          <w:r>
            <w:fldChar w:fldCharType="end"/>
          </w:r>
          <w:r>
            <w:fldChar w:fldCharType="begin"/>
          </w:r>
          <w:r>
            <w:instrText xml:space="preserve"> if </w:instrText>
          </w:r>
          <w:fldSimple w:instr=" DOCPROPERTY  ShowFileName \* MERGEFORMAT ">
            <w:r>
              <w:instrText>0</w:instrText>
            </w:r>
          </w:fldSimple>
          <w:r>
            <w:instrText xml:space="preserve">  = 1  </w:instrText>
          </w:r>
          <w:fldSimple w:instr=" FILENAME   \* MERGEFORMAT ">
            <w:r>
              <w:instrText>C:\Data\Word97\Template\Aecom\Aecom_Letter.Dotm</w:instrText>
            </w:r>
          </w:fldSimple>
          <w:r>
            <w:instrText xml:space="preserve">  </w:instrText>
          </w:r>
          <w:r>
            <w:fldChar w:fldCharType="end"/>
          </w:r>
        </w:p>
      </w:tc>
      <w:tc>
        <w:tcPr>
          <w:tcW w:w="3828" w:type="dxa"/>
          <w:vAlign w:val="bottom"/>
        </w:tcPr>
        <w:p w:rsidR="004747C5" w:rsidRPr="00B965F1" w:rsidRDefault="004747C5" w:rsidP="00C378B2">
          <w:pPr>
            <w:pStyle w:val="Footer"/>
          </w:pPr>
          <w:r>
            <w:t xml:space="preserve">   </w:t>
          </w:r>
          <w:r w:rsidRPr="00B965F1">
            <w:fldChar w:fldCharType="begin"/>
          </w:r>
          <w:r w:rsidRPr="00B965F1">
            <w:instrText xml:space="preserve"> if </w:instrText>
          </w:r>
          <w:r w:rsidRPr="00B965F1">
            <w:fldChar w:fldCharType="begin"/>
          </w:r>
          <w:r w:rsidRPr="00B965F1">
            <w:instrText xml:space="preserve"> DOCPROPERTY  AdditionalCompanyName </w:instrText>
          </w:r>
          <w:r w:rsidRPr="00B965F1">
            <w:fldChar w:fldCharType="end"/>
          </w:r>
          <w:r w:rsidRPr="00B965F1">
            <w:instrText xml:space="preserve">  = "" "" "  |  "</w:instrText>
          </w:r>
          <w:r w:rsidRPr="00B965F1">
            <w:fldChar w:fldCharType="end"/>
          </w:r>
          <w:r w:rsidRPr="00B965F1">
            <w:fldChar w:fldCharType="begin"/>
          </w:r>
          <w:r w:rsidRPr="00B965F1">
            <w:instrText xml:space="preserve"> DOCPROPERTY  AdditionalCompanyName \* MERGEFORMAT </w:instrText>
          </w:r>
          <w:r w:rsidRPr="00B965F1">
            <w:fldChar w:fldCharType="end"/>
          </w:r>
        </w:p>
        <w:p w:rsidR="004747C5" w:rsidRPr="00B965F1" w:rsidRDefault="004747C5" w:rsidP="00C378B2">
          <w:pPr>
            <w:pStyle w:val="Footer"/>
          </w:pPr>
        </w:p>
      </w:tc>
    </w:tr>
  </w:tbl>
  <w:p w:rsidR="004747C5" w:rsidRDefault="004747C5" w:rsidP="00C378B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3149" w:rsidRPr="00253171" w:rsidRDefault="008D3149" w:rsidP="00253171">
      <w:pPr>
        <w:spacing w:line="240" w:lineRule="auto"/>
        <w:rPr>
          <w:color w:val="00B5E2" w:themeColor="accent1"/>
        </w:rPr>
      </w:pPr>
      <w:r w:rsidRPr="00253171">
        <w:rPr>
          <w:color w:val="00B5E2" w:themeColor="accent1"/>
        </w:rPr>
        <w:separator/>
      </w:r>
      <w:r w:rsidRPr="00253171">
        <w:rPr>
          <w:color w:val="00B5E2" w:themeColor="accent1"/>
        </w:rPr>
        <w:separator/>
      </w:r>
    </w:p>
  </w:footnote>
  <w:footnote w:type="continuationSeparator" w:id="0">
    <w:p w:rsidR="008D3149" w:rsidRPr="00253171" w:rsidRDefault="008D3149" w:rsidP="00253171">
      <w:pPr>
        <w:spacing w:line="240" w:lineRule="auto"/>
        <w:rPr>
          <w:color w:val="00B5E2" w:themeColor="accent1"/>
        </w:rPr>
      </w:pPr>
      <w:r w:rsidRPr="00253171">
        <w:rPr>
          <w:color w:val="00B5E2" w:themeColor="accent1"/>
        </w:rPr>
        <w:separator/>
      </w:r>
      <w:r w:rsidRPr="00253171">
        <w:rPr>
          <w:color w:val="00B5E2" w:themeColor="accent1"/>
        </w:rPr>
        <w:separator/>
      </w:r>
    </w:p>
  </w:footnote>
  <w:footnote w:id="1">
    <w:p w:rsidR="004747C5" w:rsidRDefault="004747C5">
      <w:pPr>
        <w:pStyle w:val="FootnoteText"/>
      </w:pPr>
      <w:r>
        <w:rPr>
          <w:rStyle w:val="FootnoteReference"/>
        </w:rPr>
        <w:footnoteRef/>
      </w:r>
      <w:r>
        <w:t xml:space="preserve"> Available at </w:t>
      </w:r>
      <w:hyperlink r:id="rId1" w:history="1">
        <w:r>
          <w:rPr>
            <w:rStyle w:val="Hyperlink"/>
            <w:rFonts w:eastAsiaTheme="majorEastAsia"/>
          </w:rPr>
          <w:t>https://www.broadland.gov.uk/downloads/file/5213/reedham_neighbourhood_area_map</w:t>
        </w:r>
      </w:hyperlink>
    </w:p>
  </w:footnote>
  <w:footnote w:id="2">
    <w:p w:rsidR="004747C5" w:rsidRDefault="004747C5">
      <w:pPr>
        <w:pStyle w:val="FootnoteText"/>
      </w:pPr>
      <w:r>
        <w:rPr>
          <w:rStyle w:val="FootnoteReference"/>
        </w:rPr>
        <w:footnoteRef/>
      </w:r>
      <w:r>
        <w:t xml:space="preserve"> Available at </w:t>
      </w:r>
      <w:hyperlink r:id="rId2" w:anchor="basic-conditions-for-neighbourhood-plan-to-referendum" w:history="1">
        <w:r w:rsidRPr="0010158B">
          <w:rPr>
            <w:rStyle w:val="Hyperlink"/>
          </w:rPr>
          <w:t>https://www.gov.uk/guidance/neighbourhood-planning--2#basic-conditions-for-neighbourhood-plan-to-referendum</w:t>
        </w:r>
      </w:hyperlink>
      <w:r>
        <w:t xml:space="preserve"> </w:t>
      </w:r>
    </w:p>
  </w:footnote>
  <w:footnote w:id="3">
    <w:p w:rsidR="004747C5" w:rsidRDefault="004747C5">
      <w:pPr>
        <w:pStyle w:val="FootnoteText"/>
      </w:pPr>
      <w:r>
        <w:rPr>
          <w:rStyle w:val="FootnoteReference"/>
        </w:rPr>
        <w:footnoteRef/>
      </w:r>
      <w:r>
        <w:t xml:space="preserve"> However, this does not affect the potential for the </w:t>
      </w:r>
      <w:r w:rsidRPr="00CD1EBD">
        <w:t>evidence base underpinn</w:t>
      </w:r>
      <w:r>
        <w:t xml:space="preserve">ing the emerging local plan to inform or </w:t>
      </w:r>
      <w:r w:rsidRPr="00CD1EBD">
        <w:t>form part of the evidence base for the neighbourhood plan</w:t>
      </w:r>
      <w:r>
        <w:t xml:space="preserve">. </w:t>
      </w:r>
    </w:p>
  </w:footnote>
  <w:footnote w:id="4">
    <w:p w:rsidR="004747C5" w:rsidRDefault="004747C5">
      <w:pPr>
        <w:pStyle w:val="FootnoteText"/>
      </w:pPr>
      <w:r>
        <w:rPr>
          <w:rStyle w:val="FootnoteReference"/>
        </w:rPr>
        <w:footnoteRef/>
      </w:r>
      <w:r>
        <w:t xml:space="preserve"> Available at </w:t>
      </w:r>
      <w:hyperlink r:id="rId3" w:history="1">
        <w:r>
          <w:rPr>
            <w:rStyle w:val="Hyperlink"/>
            <w:rFonts w:eastAsiaTheme="majorEastAsia"/>
          </w:rPr>
          <w:t>https://www.broadland.gov.uk/downloads/file/1310/joint_core_strategy_adopted_document_2014</w:t>
        </w:r>
      </w:hyperlink>
    </w:p>
  </w:footnote>
  <w:footnote w:id="5">
    <w:p w:rsidR="004747C5" w:rsidRDefault="004747C5">
      <w:pPr>
        <w:pStyle w:val="FootnoteText"/>
      </w:pPr>
      <w:r>
        <w:rPr>
          <w:rStyle w:val="FootnoteReference"/>
        </w:rPr>
        <w:footnoteRef/>
      </w:r>
      <w:r>
        <w:t xml:space="preserve"> Available at </w:t>
      </w:r>
      <w:hyperlink r:id="rId4" w:history="1">
        <w:r>
          <w:rPr>
            <w:rStyle w:val="Hyperlink"/>
            <w:rFonts w:eastAsiaTheme="majorEastAsia"/>
          </w:rPr>
          <w:t>https://www.broadland.gov.uk/downloads/file/1118/development_management_dpd_adopted</w:t>
        </w:r>
      </w:hyperlink>
    </w:p>
  </w:footnote>
  <w:footnote w:id="6">
    <w:p w:rsidR="004747C5" w:rsidRDefault="004747C5">
      <w:pPr>
        <w:pStyle w:val="FootnoteText"/>
      </w:pPr>
      <w:r>
        <w:rPr>
          <w:rStyle w:val="FootnoteReference"/>
        </w:rPr>
        <w:footnoteRef/>
      </w:r>
      <w:r>
        <w:t xml:space="preserve"> Available at </w:t>
      </w:r>
      <w:hyperlink r:id="rId5" w:history="1">
        <w:r>
          <w:rPr>
            <w:rStyle w:val="Hyperlink"/>
            <w:rFonts w:eastAsiaTheme="majorEastAsia"/>
          </w:rPr>
          <w:t>https://www.broadland.gov.uk/downloads/file/1308/site_allocations_dpd_adopted_2016</w:t>
        </w:r>
      </w:hyperlink>
    </w:p>
  </w:footnote>
  <w:footnote w:id="7">
    <w:p w:rsidR="004747C5" w:rsidRDefault="004747C5">
      <w:pPr>
        <w:pStyle w:val="FootnoteText"/>
      </w:pPr>
      <w:r>
        <w:rPr>
          <w:rStyle w:val="FootnoteReference"/>
        </w:rPr>
        <w:footnoteRef/>
      </w:r>
      <w:r>
        <w:t xml:space="preserve"> Available at </w:t>
      </w:r>
      <w:hyperlink r:id="rId6" w:history="1">
        <w:r>
          <w:rPr>
            <w:rStyle w:val="Hyperlink"/>
            <w:rFonts w:eastAsiaTheme="majorEastAsia"/>
          </w:rPr>
          <w:t>https://www.broadland.gov.uk/downloads/file/1143/growth_triangle_area_action_plan_adopted_july_2016</w:t>
        </w:r>
      </w:hyperlink>
    </w:p>
  </w:footnote>
  <w:footnote w:id="8">
    <w:p w:rsidR="004747C5" w:rsidRDefault="004747C5">
      <w:pPr>
        <w:pStyle w:val="FootnoteText"/>
      </w:pPr>
      <w:r>
        <w:rPr>
          <w:rStyle w:val="FootnoteReference"/>
        </w:rPr>
        <w:footnoteRef/>
      </w:r>
      <w:r>
        <w:t xml:space="preserve"> Available at </w:t>
      </w:r>
      <w:hyperlink r:id="rId7" w:history="1">
        <w:r>
          <w:rPr>
            <w:rStyle w:val="Hyperlink"/>
            <w:rFonts w:eastAsiaTheme="majorEastAsia"/>
          </w:rPr>
          <w:t>https://www.broadland.gov.uk/info/200164/neighbourhood_plans/403/areas_with_adopted_neighbourhood_plans</w:t>
        </w:r>
      </w:hyperlink>
    </w:p>
  </w:footnote>
  <w:footnote w:id="9">
    <w:p w:rsidR="004747C5" w:rsidRDefault="004747C5">
      <w:pPr>
        <w:pStyle w:val="FootnoteText"/>
      </w:pPr>
      <w:r>
        <w:rPr>
          <w:rStyle w:val="FootnoteReference"/>
        </w:rPr>
        <w:footnoteRef/>
      </w:r>
      <w:r>
        <w:t xml:space="preserve"> Available at </w:t>
      </w:r>
      <w:hyperlink r:id="rId8" w:history="1">
        <w:r>
          <w:rPr>
            <w:rStyle w:val="Hyperlink"/>
            <w:rFonts w:eastAsiaTheme="majorEastAsia"/>
          </w:rPr>
          <w:t>http://www.greaternorwichgrowth.org.uk/planning/greater-norwich-local-plan/</w:t>
        </w:r>
      </w:hyperlink>
      <w:r>
        <w:rPr>
          <w:rStyle w:val="Hyperlink"/>
          <w:rFonts w:eastAsiaTheme="majorEastAsia"/>
        </w:rPr>
        <w:t xml:space="preserve"> </w:t>
      </w:r>
      <w:r>
        <w:t>and</w:t>
      </w:r>
      <w:r>
        <w:rPr>
          <w:rStyle w:val="Hyperlink"/>
          <w:rFonts w:eastAsiaTheme="majorEastAsia"/>
        </w:rPr>
        <w:t xml:space="preserve"> </w:t>
      </w:r>
      <w:r w:rsidRPr="00C044A3">
        <w:rPr>
          <w:rStyle w:val="Hyperlink"/>
          <w:rFonts w:eastAsiaTheme="majorEastAsia"/>
        </w:rPr>
        <w:t>https://gnlp.oc2.uk/readdoc/42/3#d8908</w:t>
      </w:r>
    </w:p>
  </w:footnote>
  <w:footnote w:id="10">
    <w:p w:rsidR="004747C5" w:rsidRDefault="004747C5">
      <w:pPr>
        <w:pStyle w:val="FootnoteText"/>
      </w:pPr>
      <w:r>
        <w:rPr>
          <w:rStyle w:val="FootnoteReference"/>
        </w:rPr>
        <w:footnoteRef/>
      </w:r>
      <w:r>
        <w:t xml:space="preserve"> Note that only those policies considered relevant to this Housing Needs Assessment have been reviewed, and that the policies reviewed may have been edited for relevance and/or clarity. As such, this summary of relevant policies should not be considered a full summary of the Local Plan in question.</w:t>
      </w:r>
    </w:p>
  </w:footnote>
  <w:footnote w:id="11">
    <w:p w:rsidR="004747C5" w:rsidRDefault="004747C5">
      <w:pPr>
        <w:pStyle w:val="FootnoteText"/>
      </w:pPr>
      <w:r>
        <w:rPr>
          <w:rStyle w:val="FootnoteReference"/>
        </w:rPr>
        <w:footnoteRef/>
      </w:r>
      <w:r>
        <w:t xml:space="preserve"> Note that only those policies considered relevant to this Housing Needs Assessment have been reviewed, and that the policies reviewed may have been edited for relevance and/or clarity. As such, this summary of relevant policies should not be considered a full summary of the Local Plan in question.</w:t>
      </w:r>
    </w:p>
  </w:footnote>
  <w:footnote w:id="12">
    <w:p w:rsidR="004747C5" w:rsidRDefault="004747C5">
      <w:pPr>
        <w:pStyle w:val="FootnoteText"/>
      </w:pPr>
      <w:r>
        <w:rPr>
          <w:rStyle w:val="FootnoteReference"/>
        </w:rPr>
        <w:footnoteRef/>
      </w:r>
      <w:r>
        <w:t xml:space="preserve"> Note that only those policies considered relevant to this Housing Needs Assessment have been reviewed, and that the policies reviewed may have been edited for relevance and/or clarity. As such, this summary of relevant policies should not be considered a full summary of the Local Plan in question.</w:t>
      </w:r>
    </w:p>
  </w:footnote>
  <w:footnote w:id="13">
    <w:p w:rsidR="004747C5" w:rsidRDefault="004747C5">
      <w:pPr>
        <w:pStyle w:val="FootnoteText"/>
      </w:pPr>
      <w:r>
        <w:rPr>
          <w:rStyle w:val="FootnoteReference"/>
        </w:rPr>
        <w:footnoteRef/>
      </w:r>
      <w:r>
        <w:t xml:space="preserve"> Note that only those policies considered relevant to this Housing Needs Assessment have been reviewed, and that the policies reviewed may have been edited for relevance and/or clarity. As such, this summary of relevant policies should not be considered a full summary of the Local Plan in question.</w:t>
      </w:r>
    </w:p>
  </w:footnote>
  <w:footnote w:id="14">
    <w:p w:rsidR="004747C5" w:rsidRDefault="004747C5">
      <w:pPr>
        <w:pStyle w:val="FootnoteText"/>
      </w:pPr>
      <w:r>
        <w:rPr>
          <w:rStyle w:val="FootnoteReference"/>
        </w:rPr>
        <w:footnoteRef/>
      </w:r>
      <w:r>
        <w:t xml:space="preserve"> </w:t>
      </w:r>
      <w:hyperlink r:id="rId9" w:history="1">
        <w:r>
          <w:rPr>
            <w:rStyle w:val="Hyperlink"/>
            <w:rFonts w:eastAsiaTheme="majorEastAsia"/>
          </w:rPr>
          <w:t>http://www.greaternorwichgrowth.org.uk/planning/greater-norwich-local-plan/</w:t>
        </w:r>
      </w:hyperlink>
    </w:p>
  </w:footnote>
  <w:footnote w:id="15">
    <w:p w:rsidR="004747C5" w:rsidRDefault="004747C5" w:rsidP="002C2D5C">
      <w:pPr>
        <w:pStyle w:val="FootnoteText"/>
      </w:pPr>
      <w:r w:rsidRPr="001B4D89">
        <w:rPr>
          <w:rStyle w:val="FootnoteReference"/>
          <w:rFonts w:ascii="Arial" w:hAnsi="Arial"/>
        </w:rPr>
        <w:footnoteRef/>
      </w:r>
      <w:r w:rsidRPr="001B4D89">
        <w:t xml:space="preserve"> PPG </w:t>
      </w:r>
      <w:r w:rsidRPr="001B4D89">
        <w:rPr>
          <w:shd w:val="clear" w:color="auto" w:fill="FFFFFF"/>
        </w:rPr>
        <w:t>Paragraph: 021 Reference ID: 2a-021-20160401</w:t>
      </w:r>
      <w:r>
        <w:rPr>
          <w:shd w:val="clear" w:color="auto" w:fill="FFFFFF"/>
        </w:rPr>
        <w:t xml:space="preserve">, available at </w:t>
      </w:r>
      <w:hyperlink r:id="rId10" w:history="1">
        <w:r w:rsidRPr="00EC5123">
          <w:rPr>
            <w:rStyle w:val="Hyperlink"/>
            <w:shd w:val="clear" w:color="auto" w:fill="FFFFFF"/>
          </w:rPr>
          <w:t>https://www.gov.uk/guidance/housing-and-economic-development-needs-assessments</w:t>
        </w:r>
      </w:hyperlink>
      <w:r>
        <w:rPr>
          <w:shd w:val="clear" w:color="auto" w:fill="FFFFFF"/>
        </w:rPr>
        <w:t xml:space="preserve"> </w:t>
      </w:r>
    </w:p>
  </w:footnote>
  <w:footnote w:id="16">
    <w:p w:rsidR="004747C5" w:rsidRDefault="004747C5" w:rsidP="002C2D5C">
      <w:pPr>
        <w:pStyle w:val="FootnoteText"/>
      </w:pPr>
      <w:r>
        <w:rPr>
          <w:rStyle w:val="FootnoteReference"/>
        </w:rPr>
        <w:footnoteRef/>
      </w:r>
      <w:r>
        <w:t xml:space="preserve"> NPPF 2019.</w:t>
      </w:r>
    </w:p>
  </w:footnote>
  <w:footnote w:id="17">
    <w:p w:rsidR="004747C5" w:rsidRDefault="004747C5" w:rsidP="002C2D5C">
      <w:pPr>
        <w:pStyle w:val="FootnoteText"/>
      </w:pPr>
      <w:r>
        <w:rPr>
          <w:rStyle w:val="FootnoteReference"/>
        </w:rPr>
        <w:footnoteRef/>
      </w:r>
      <w:r>
        <w:t xml:space="preserve"> PPG </w:t>
      </w:r>
      <w:r w:rsidRPr="001D7DD5">
        <w:t>031 Reference ID: 23b-031-20161116</w:t>
      </w:r>
      <w:r>
        <w:t xml:space="preserve">, available at </w:t>
      </w:r>
      <w:hyperlink r:id="rId11" w:history="1">
        <w:r w:rsidRPr="00EC5123">
          <w:rPr>
            <w:rStyle w:val="Hyperlink"/>
          </w:rPr>
          <w:t>https://www.gov.uk/guidance/planning-obligations</w:t>
        </w:r>
      </w:hyperlink>
      <w:r>
        <w:t xml:space="preserve"> </w:t>
      </w:r>
    </w:p>
  </w:footnote>
  <w:footnote w:id="18">
    <w:p w:rsidR="004747C5" w:rsidRDefault="004747C5" w:rsidP="002C2D5C">
      <w:pPr>
        <w:pStyle w:val="FootnoteText"/>
      </w:pPr>
      <w:r>
        <w:rPr>
          <w:rStyle w:val="FootnoteReference"/>
        </w:rPr>
        <w:footnoteRef/>
      </w:r>
      <w:r>
        <w:t xml:space="preserve"> See </w:t>
      </w:r>
      <w:r w:rsidRPr="0042027F">
        <w:t>Paragraph: 021 Reference ID: 2a-021-20190220</w:t>
      </w:r>
      <w:r>
        <w:t xml:space="preserve">, available at </w:t>
      </w:r>
      <w:hyperlink r:id="rId12" w:history="1">
        <w:r w:rsidRPr="00EC5123">
          <w:rPr>
            <w:rStyle w:val="Hyperlink"/>
          </w:rPr>
          <w:t>https://www.gov.uk/guidance/housing-and-economic-development-needs-assessments</w:t>
        </w:r>
      </w:hyperlink>
      <w:r>
        <w:t xml:space="preserve"> </w:t>
      </w:r>
    </w:p>
  </w:footnote>
  <w:footnote w:id="19">
    <w:p w:rsidR="004747C5" w:rsidRDefault="004747C5" w:rsidP="00DF2BD9">
      <w:pPr>
        <w:pStyle w:val="FootnoteText"/>
      </w:pPr>
      <w:r>
        <w:rPr>
          <w:rStyle w:val="FootnoteReference"/>
        </w:rPr>
        <w:footnoteRef/>
      </w:r>
      <w:r>
        <w:t xml:space="preserve">Available at </w:t>
      </w:r>
      <w:hyperlink r:id="rId13" w:history="1">
        <w:r w:rsidRPr="001F0912">
          <w:rPr>
            <w:rStyle w:val="Hyperlink"/>
          </w:rPr>
          <w:t>https://www.ons.gov.uk/peoplepopulationandcommunity/personalandhouseholdfinances/incomeandwealth/bulletins/smallareamodelbasedincomeestimates/financialyearending2016</w:t>
        </w:r>
      </w:hyperlink>
      <w:r>
        <w:t xml:space="preserve"> </w:t>
      </w:r>
    </w:p>
  </w:footnote>
  <w:footnote w:id="20">
    <w:p w:rsidR="004747C5" w:rsidRDefault="004747C5" w:rsidP="00DF2BD9">
      <w:pPr>
        <w:pStyle w:val="FootnoteText"/>
      </w:pPr>
      <w:r>
        <w:rPr>
          <w:rStyle w:val="FootnoteReference"/>
        </w:rPr>
        <w:footnoteRef/>
      </w:r>
      <w:r>
        <w:t xml:space="preserve"> An MSOA is a statistical area defined for Census purposes. For further information on MSOAs, see </w:t>
      </w:r>
      <w:hyperlink r:id="rId14" w:history="1">
        <w:r w:rsidRPr="001F0912">
          <w:rPr>
            <w:rStyle w:val="Hyperlink"/>
          </w:rPr>
          <w:t>https://www.ons.gov.uk/methodology/geography/ukgeographies/censusgeography</w:t>
        </w:r>
      </w:hyperlink>
      <w:r>
        <w:t xml:space="preserve"> </w:t>
      </w:r>
    </w:p>
  </w:footnote>
  <w:footnote w:id="21">
    <w:p w:rsidR="004747C5" w:rsidRDefault="004747C5" w:rsidP="00DF2BD9">
      <w:pPr>
        <w:pStyle w:val="FootnoteText"/>
      </w:pPr>
      <w:r>
        <w:rPr>
          <w:rStyle w:val="FootnoteReference"/>
        </w:rPr>
        <w:footnoteRef/>
      </w:r>
      <w:r>
        <w:t xml:space="preserve"> </w:t>
      </w:r>
      <w:r w:rsidRPr="00623F24">
        <w:t>Total annual household income is the sum of the gross income of every member of the household plus any income from benefits such as Working Families Tax Credit.</w:t>
      </w:r>
    </w:p>
  </w:footnote>
  <w:footnote w:id="22">
    <w:p w:rsidR="004747C5" w:rsidRDefault="004747C5">
      <w:pPr>
        <w:pStyle w:val="FootnoteText"/>
      </w:pPr>
      <w:r>
        <w:rPr>
          <w:rStyle w:val="FootnoteReference"/>
        </w:rPr>
        <w:footnoteRef/>
      </w:r>
      <w:r>
        <w:t xml:space="preserve"> On top of deposit assumed at 10% (see Appendix A).</w:t>
      </w:r>
    </w:p>
  </w:footnote>
  <w:footnote w:id="23">
    <w:p w:rsidR="004747C5" w:rsidRDefault="004747C5">
      <w:pPr>
        <w:pStyle w:val="FootnoteText"/>
      </w:pPr>
      <w:r>
        <w:rPr>
          <w:rStyle w:val="FootnoteReference"/>
        </w:rPr>
        <w:footnoteRef/>
      </w:r>
      <w:r>
        <w:t xml:space="preserve"> See the White Paper ‘Fixing Our Broken Housing Market’, at </w:t>
      </w:r>
      <w:hyperlink r:id="rId15" w:history="1">
        <w:r w:rsidRPr="00692F01">
          <w:rPr>
            <w:rStyle w:val="Hyperlink"/>
          </w:rPr>
          <w:t>https://assets.publishing.service.gov.uk/government/uploads/system/uploads/attachment_data/file/590464/Fixing_our_broken_housing_market_-_print_ready_version.pdf</w:t>
        </w:r>
      </w:hyperlink>
      <w:r>
        <w:t xml:space="preserve"> </w:t>
      </w:r>
    </w:p>
  </w:footnote>
  <w:footnote w:id="24">
    <w:p w:rsidR="004747C5" w:rsidRPr="000E4CE6" w:rsidRDefault="004747C5" w:rsidP="008411EA">
      <w:pPr>
        <w:pStyle w:val="FootnoteText"/>
        <w:jc w:val="both"/>
        <w:rPr>
          <w:rFonts w:cstheme="minorHAnsi"/>
        </w:rPr>
      </w:pPr>
      <w:r w:rsidRPr="000E4CE6">
        <w:rPr>
          <w:rStyle w:val="FootnoteReference"/>
          <w:rFonts w:asciiTheme="minorHAnsi" w:hAnsiTheme="minorHAnsi" w:cstheme="minorHAnsi"/>
        </w:rPr>
        <w:footnoteRef/>
      </w:r>
      <w:r w:rsidRPr="000E4CE6">
        <w:rPr>
          <w:rFonts w:cstheme="minorHAnsi"/>
        </w:rPr>
        <w:t xml:space="preserve"> </w:t>
      </w:r>
      <w:r>
        <w:rPr>
          <w:rFonts w:cstheme="minorHAnsi"/>
        </w:rPr>
        <w:t xml:space="preserve">At </w:t>
      </w:r>
      <w:hyperlink r:id="rId16" w:history="1">
        <w:r w:rsidRPr="00EC5123">
          <w:rPr>
            <w:rStyle w:val="Hyperlink"/>
            <w:rFonts w:cstheme="minorHAnsi"/>
          </w:rPr>
          <w:t>https://www.nomisweb.co.uk/census/2011/qs407ew</w:t>
        </w:r>
      </w:hyperlink>
      <w:r>
        <w:rPr>
          <w:rFonts w:cstheme="minorHAnsi"/>
        </w:rPr>
        <w:t xml:space="preserve"> </w:t>
      </w:r>
    </w:p>
  </w:footnote>
  <w:footnote w:id="25">
    <w:p w:rsidR="004747C5" w:rsidRPr="00A96F7B" w:rsidRDefault="004747C5" w:rsidP="008411EA">
      <w:pPr>
        <w:pStyle w:val="FootnoteText"/>
      </w:pPr>
      <w:r>
        <w:rPr>
          <w:rStyle w:val="FootnoteReference"/>
        </w:rPr>
        <w:footnoteRef/>
      </w:r>
      <w:r w:rsidRPr="00A96F7B">
        <w:t xml:space="preserve"> </w:t>
      </w:r>
      <w:r>
        <w:t xml:space="preserve">At </w:t>
      </w:r>
      <w:hyperlink r:id="rId17" w:history="1">
        <w:r w:rsidRPr="00A96F7B">
          <w:rPr>
            <w:rStyle w:val="Hyperlink"/>
          </w:rPr>
          <w:t>https://www.gov.uk/guidance/dwelling-stock-data-notes-and-definitions-includes-hfr-full-guidance-notes-and-returns-form</w:t>
        </w:r>
      </w:hyperlink>
      <w:r w:rsidRPr="00A96F7B">
        <w:t xml:space="preserve"> </w:t>
      </w:r>
    </w:p>
  </w:footnote>
  <w:footnote w:id="26">
    <w:p w:rsidR="004747C5" w:rsidRPr="00A96F7B" w:rsidRDefault="004747C5" w:rsidP="008411EA">
      <w:pPr>
        <w:pStyle w:val="FootnoteText"/>
      </w:pPr>
      <w:r>
        <w:rPr>
          <w:rStyle w:val="FootnoteReference"/>
        </w:rPr>
        <w:footnoteRef/>
      </w:r>
      <w:r w:rsidRPr="00A96F7B">
        <w:t xml:space="preserve"> Ibid.</w:t>
      </w:r>
    </w:p>
  </w:footnote>
  <w:footnote w:id="27">
    <w:p w:rsidR="004747C5" w:rsidRDefault="004747C5">
      <w:pPr>
        <w:pStyle w:val="FootnoteText"/>
      </w:pPr>
      <w:r>
        <w:rPr>
          <w:rStyle w:val="FootnoteReference"/>
        </w:rPr>
        <w:footnoteRef/>
      </w:r>
      <w:r>
        <w:t xml:space="preserve"> </w:t>
      </w:r>
      <w:r w:rsidRPr="00817582">
        <w:t xml:space="preserve">Refers to households containing children who are older than 18 </w:t>
      </w:r>
      <w:proofErr w:type="spellStart"/>
      <w:r w:rsidRPr="00817582">
        <w:t>e.g</w:t>
      </w:r>
      <w:proofErr w:type="spellEnd"/>
      <w:r w:rsidRPr="00817582">
        <w:t xml:space="preserve"> students or young working people living at home</w:t>
      </w:r>
      <w:r>
        <w:t>.</w:t>
      </w:r>
    </w:p>
  </w:footnote>
  <w:footnote w:id="28">
    <w:p w:rsidR="004747C5" w:rsidRDefault="004747C5" w:rsidP="00F468DD">
      <w:pPr>
        <w:pStyle w:val="FootnoteText"/>
      </w:pPr>
      <w:r>
        <w:rPr>
          <w:rStyle w:val="FootnoteReference"/>
        </w:rPr>
        <w:footnoteRef/>
      </w:r>
      <w:r>
        <w:t xml:space="preserve"> ‘Entry-level dwelling’ can be understood to comprise a property that costs the average value of dwellings falling into the lower quartile of house prices in the </w:t>
      </w:r>
      <w:r w:rsidRPr="00E160BD">
        <w:t>Neighbourhood</w:t>
      </w:r>
      <w:r>
        <w:t xml:space="preserve"> Plan area, as set out in the Tenure and Affordability chapter above.</w:t>
      </w:r>
    </w:p>
  </w:footnote>
  <w:footnote w:id="29">
    <w:p w:rsidR="004747C5" w:rsidRDefault="004747C5" w:rsidP="002C2D5C">
      <w:pPr>
        <w:pStyle w:val="FootnoteText"/>
      </w:pPr>
      <w:r>
        <w:rPr>
          <w:rStyle w:val="FootnoteReference"/>
        </w:rPr>
        <w:footnoteRef/>
      </w:r>
      <w:r>
        <w:t xml:space="preserve"> This is based on the concept of the ‘room standard’, which </w:t>
      </w:r>
      <w:r w:rsidRPr="004C0421">
        <w:t xml:space="preserve">indicates a dwelling is legally overcrowded if two people of the opposite sex have to share a room to sleep in (this does not apply when couples share a room). </w:t>
      </w:r>
      <w:r>
        <w:t xml:space="preserve">See: </w:t>
      </w:r>
      <w:hyperlink r:id="rId18" w:history="1">
        <w:r w:rsidRPr="00CA3227">
          <w:rPr>
            <w:rStyle w:val="Hyperlink"/>
          </w:rPr>
          <w:t>http://england.shelter.org.uk/housing_advice/repairs/overcrowding</w:t>
        </w:r>
      </w:hyperlink>
    </w:p>
  </w:footnote>
  <w:footnote w:id="30">
    <w:p w:rsidR="004747C5" w:rsidRDefault="004747C5" w:rsidP="002C2D5C">
      <w:pPr>
        <w:pStyle w:val="FootnoteText"/>
      </w:pPr>
      <w:r>
        <w:rPr>
          <w:rStyle w:val="FootnoteReference"/>
        </w:rPr>
        <w:footnoteRef/>
      </w:r>
      <w:r>
        <w:t xml:space="preserve"> It is important to note that this is based on new build sales only. The current shared ownership models are only available for new build homes, with the assumed cost therefore differing from the cost of open market housing, which also includes property re-sale.</w:t>
      </w:r>
    </w:p>
  </w:footnote>
  <w:footnote w:id="31">
    <w:p w:rsidR="004747C5" w:rsidRDefault="004747C5" w:rsidP="00AC41F0">
      <w:pPr>
        <w:pStyle w:val="FootnoteText"/>
      </w:pPr>
      <w:r>
        <w:rPr>
          <w:rStyle w:val="FootnoteReference"/>
        </w:rPr>
        <w:footnoteRef/>
      </w:r>
      <w:r>
        <w:t xml:space="preserve"> </w:t>
      </w:r>
      <w:r w:rsidRPr="00F56E61">
        <w:t xml:space="preserve">The Tenant Services Authority has issued an explanatory note on these </w:t>
      </w:r>
      <w:r>
        <w:t xml:space="preserve">methods </w:t>
      </w:r>
      <w:r w:rsidRPr="00F56E61">
        <w:t xml:space="preserve">at </w:t>
      </w:r>
      <w:hyperlink r:id="rId19" w:history="1">
        <w:r w:rsidRPr="00EC5123">
          <w:rPr>
            <w:rStyle w:val="Hyperlink"/>
          </w:rPr>
          <w:t>http://www.communities.gov.uk/documents/planningandbuilding/pdf/1918430.pdf</w:t>
        </w:r>
      </w:hyperlink>
      <w:r>
        <w:t xml:space="preserve"> </w:t>
      </w:r>
    </w:p>
  </w:footnote>
  <w:footnote w:id="32">
    <w:p w:rsidR="004747C5" w:rsidRDefault="004747C5" w:rsidP="00AC41F0">
      <w:pPr>
        <w:pStyle w:val="FootnoteText"/>
      </w:pPr>
      <w:r>
        <w:rPr>
          <w:rStyle w:val="FootnoteReference"/>
        </w:rPr>
        <w:footnoteRef/>
      </w:r>
      <w:r>
        <w:t xml:space="preserve"> See </w:t>
      </w:r>
      <w:hyperlink r:id="rId20" w:history="1">
        <w:r w:rsidRPr="00645544">
          <w:rPr>
            <w:rStyle w:val="Hyperlink"/>
          </w:rPr>
          <w:t>https://www.gov.uk/government/statistics/english-housing-survey-2011-to-2012-household-report</w:t>
        </w:r>
      </w:hyperlink>
      <w:r>
        <w:t xml:space="preserve"> </w:t>
      </w:r>
    </w:p>
  </w:footnote>
  <w:footnote w:id="33">
    <w:p w:rsidR="004747C5" w:rsidRDefault="004747C5" w:rsidP="00AC41F0">
      <w:pPr>
        <w:pStyle w:val="FootnoteText"/>
      </w:pPr>
      <w:r w:rsidRPr="00F56E61">
        <w:rPr>
          <w:rStyle w:val="FootnoteReference"/>
          <w:szCs w:val="16"/>
        </w:rPr>
        <w:footnoteRef/>
      </w:r>
      <w:r w:rsidRPr="00F56E61">
        <w:rPr>
          <w:szCs w:val="16"/>
        </w:rPr>
        <w:t xml:space="preserve"> </w:t>
      </w:r>
      <w:r>
        <w:rPr>
          <w:szCs w:val="16"/>
        </w:rPr>
        <w:t xml:space="preserve">See </w:t>
      </w:r>
      <w:hyperlink r:id="rId21" w:history="1">
        <w:r w:rsidRPr="00645544">
          <w:rPr>
            <w:rStyle w:val="Hyperlink"/>
            <w:szCs w:val="16"/>
          </w:rPr>
          <w:t>https://www.gov.uk/guidance/national-planning-policy-framework/annex-2-glossary</w:t>
        </w:r>
      </w:hyperlink>
      <w:r>
        <w:rPr>
          <w:szCs w:val="16"/>
        </w:rPr>
        <w:t xml:space="preserve"> </w:t>
      </w:r>
    </w:p>
  </w:footnote>
  <w:footnote w:id="34">
    <w:p w:rsidR="004747C5" w:rsidRDefault="004747C5" w:rsidP="00AC41F0">
      <w:pPr>
        <w:pStyle w:val="FootnoteText"/>
      </w:pPr>
      <w:r w:rsidRPr="00F56E61">
        <w:rPr>
          <w:rStyle w:val="FootnoteReference"/>
          <w:szCs w:val="16"/>
        </w:rPr>
        <w:footnoteRef/>
      </w:r>
      <w:r>
        <w:t xml:space="preserve"> See </w:t>
      </w:r>
      <w:hyperlink r:id="rId22" w:history="1">
        <w:r w:rsidRPr="00645544">
          <w:rPr>
            <w:rStyle w:val="Hyperlink"/>
            <w:szCs w:val="16"/>
          </w:rPr>
          <w:t>http://webarchive.nationalarchives.gov.uk/20160107160832/http://www.ons.gov.uk/ons/dcp171776_350282.pdf</w:t>
        </w:r>
      </w:hyperlink>
      <w:r>
        <w:rPr>
          <w:szCs w:val="16"/>
        </w:rPr>
        <w:t xml:space="preserve"> </w:t>
      </w:r>
    </w:p>
  </w:footnote>
  <w:footnote w:id="35">
    <w:p w:rsidR="004747C5" w:rsidRDefault="004747C5" w:rsidP="00AC41F0">
      <w:pPr>
        <w:pStyle w:val="FootnoteText"/>
      </w:pPr>
      <w:r w:rsidRPr="00F56E61">
        <w:rPr>
          <w:rStyle w:val="FootnoteReference"/>
          <w:szCs w:val="16"/>
        </w:rPr>
        <w:footnoteRef/>
      </w:r>
      <w:r w:rsidRPr="00F56E61">
        <w:rPr>
          <w:szCs w:val="16"/>
        </w:rPr>
        <w:t xml:space="preserve"> </w:t>
      </w:r>
      <w:r>
        <w:rPr>
          <w:szCs w:val="16"/>
        </w:rPr>
        <w:t xml:space="preserve">See </w:t>
      </w:r>
      <w:hyperlink r:id="rId23" w:history="1">
        <w:r w:rsidRPr="00645544">
          <w:rPr>
            <w:rStyle w:val="Hyperlink"/>
            <w:szCs w:val="16"/>
          </w:rPr>
          <w:t>https://www.which.co.uk/news/2017/08/how-your-income-affects-your-mortgage-chances/</w:t>
        </w:r>
      </w:hyperlink>
      <w:r>
        <w:rPr>
          <w:szCs w:val="16"/>
        </w:rPr>
        <w:t xml:space="preserve"> </w:t>
      </w:r>
    </w:p>
  </w:footnote>
  <w:footnote w:id="36">
    <w:p w:rsidR="004747C5" w:rsidRDefault="004747C5" w:rsidP="00AC41F0">
      <w:pPr>
        <w:pStyle w:val="FootnoteText"/>
      </w:pPr>
      <w:r w:rsidRPr="00F56E61">
        <w:rPr>
          <w:rStyle w:val="FootnoteReference"/>
          <w:szCs w:val="16"/>
        </w:rPr>
        <w:footnoteRef/>
      </w:r>
      <w:r w:rsidRPr="00F56E61">
        <w:rPr>
          <w:szCs w:val="16"/>
        </w:rPr>
        <w:t xml:space="preserve"> </w:t>
      </w:r>
      <w:r>
        <w:rPr>
          <w:szCs w:val="16"/>
        </w:rPr>
        <w:t xml:space="preserve">See </w:t>
      </w:r>
      <w:hyperlink r:id="rId24" w:history="1">
        <w:r w:rsidRPr="00645544">
          <w:rPr>
            <w:rStyle w:val="Hyperlink"/>
            <w:szCs w:val="16"/>
          </w:rPr>
          <w:t>http://www.housingcare.org/jargon-sheltered-housing.aspx</w:t>
        </w:r>
      </w:hyperlink>
      <w:r>
        <w:rPr>
          <w:szCs w:val="16"/>
        </w:rPr>
        <w:t xml:space="preserve"> </w:t>
      </w:r>
    </w:p>
  </w:footnote>
  <w:footnote w:id="37">
    <w:p w:rsidR="004747C5" w:rsidRDefault="004747C5" w:rsidP="00AC41F0">
      <w:pPr>
        <w:pStyle w:val="FootnoteText"/>
      </w:pPr>
      <w:r>
        <w:rPr>
          <w:rStyle w:val="FootnoteReference"/>
        </w:rPr>
        <w:footnoteRef/>
      </w:r>
      <w:r>
        <w:t xml:space="preserve"> See </w:t>
      </w:r>
      <w:hyperlink r:id="rId25" w:anchor="Housing" w:history="1">
        <w:r w:rsidRPr="00645544">
          <w:rPr>
            <w:rStyle w:val="Hyperlink"/>
          </w:rPr>
          <w:t>http://www.communities.gov.uk/documents/planningandbuilding/doc/1980960.doc#Housing</w:t>
        </w:r>
      </w:hyperlink>
      <w: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6817490"/>
      <w:docPartObj>
        <w:docPartGallery w:val="Page Numbers (Top of Page)"/>
        <w:docPartUnique/>
      </w:docPartObj>
    </w:sdtPr>
    <w:sdtContent>
      <w:p w:rsidR="004747C5" w:rsidRPr="00FD5F8B" w:rsidRDefault="004747C5" w:rsidP="00FF3107">
        <w:pPr>
          <w:pStyle w:val="Header"/>
        </w:pPr>
        <w:r>
          <w:t>Reedham Housing Needs Assessment</w:t>
        </w:r>
        <w:r w:rsidRPr="00FD5F8B">
          <w:rPr>
            <w:color w:val="FF0000"/>
          </w:rPr>
          <w:tab/>
        </w:r>
        <w:r w:rsidRPr="00FD5F8B">
          <w:rPr>
            <w:color w:val="FF0000"/>
          </w:rPr>
          <w:tab/>
        </w:r>
        <w:r>
          <w:rPr>
            <w:color w:val="FF0000"/>
          </w:rPr>
          <w:t xml:space="preserve">    </w:t>
        </w:r>
        <w:fldSimple w:instr=" PAGE   \* MERGEFORMAT ">
          <w:r w:rsidR="004C3FD2">
            <w:t>3</w:t>
          </w:r>
        </w:fldSimple>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097" w:type="dxa"/>
      <w:tblLayout w:type="fixed"/>
      <w:tblCellMar>
        <w:left w:w="0" w:type="dxa"/>
        <w:right w:w="0" w:type="dxa"/>
      </w:tblCellMar>
      <w:tblLook w:val="00A0"/>
    </w:tblPr>
    <w:tblGrid>
      <w:gridCol w:w="4395"/>
      <w:gridCol w:w="2395"/>
      <w:gridCol w:w="2849"/>
      <w:gridCol w:w="1458"/>
    </w:tblGrid>
    <w:tr w:rsidR="004747C5" w:rsidRPr="00035BE0" w:rsidTr="00CA73BD">
      <w:trPr>
        <w:trHeight w:val="20"/>
      </w:trPr>
      <w:tc>
        <w:tcPr>
          <w:tcW w:w="4395" w:type="dxa"/>
          <w:noWrap/>
        </w:tcPr>
        <w:p w:rsidR="004747C5" w:rsidRDefault="004747C5" w:rsidP="00C378B2">
          <w:r>
            <w:t>AECOM</w:t>
          </w:r>
        </w:p>
        <w:p w:rsidR="004747C5" w:rsidRPr="00D35DCB" w:rsidRDefault="004747C5" w:rsidP="00C378B2">
          <w:pPr>
            <w:pStyle w:val="BodyText"/>
            <w:rPr>
              <w:noProof/>
            </w:rPr>
          </w:pPr>
          <w:r>
            <w:rPr>
              <w:noProof/>
            </w:rPr>
            <w:t>Reedham Neighbourhood Plan Housing Needs Assessment</w:t>
          </w:r>
        </w:p>
      </w:tc>
      <w:tc>
        <w:tcPr>
          <w:tcW w:w="2395" w:type="dxa"/>
          <w:noWrap/>
        </w:tcPr>
        <w:p w:rsidR="004747C5" w:rsidRPr="00687BDA" w:rsidRDefault="004747C5" w:rsidP="00C378B2"/>
      </w:tc>
      <w:tc>
        <w:tcPr>
          <w:tcW w:w="2849" w:type="dxa"/>
        </w:tcPr>
        <w:p w:rsidR="004747C5" w:rsidRPr="00B70F5C" w:rsidRDefault="004747C5" w:rsidP="00C378B2"/>
      </w:tc>
      <w:tc>
        <w:tcPr>
          <w:tcW w:w="1458" w:type="dxa"/>
        </w:tcPr>
        <w:p w:rsidR="004747C5" w:rsidRPr="00D35DCB" w:rsidRDefault="004747C5" w:rsidP="00C378B2">
          <w:fldSimple w:instr=" PAGE   \* MERGEFORMAT ">
            <w:r w:rsidR="004C3FD2">
              <w:rPr>
                <w:noProof/>
              </w:rPr>
              <w:t>6</w:t>
            </w:r>
          </w:fldSimple>
        </w:p>
      </w:tc>
    </w:tr>
  </w:tbl>
  <w:p w:rsidR="004747C5" w:rsidRDefault="004747C5" w:rsidP="00C378B2"/>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80" w:type="dxa"/>
      <w:tblLayout w:type="fixed"/>
      <w:tblCellMar>
        <w:left w:w="0" w:type="dxa"/>
        <w:right w:w="0" w:type="dxa"/>
      </w:tblCellMar>
      <w:tblLook w:val="00A0"/>
    </w:tblPr>
    <w:tblGrid>
      <w:gridCol w:w="3221"/>
      <w:gridCol w:w="3569"/>
      <w:gridCol w:w="1832"/>
      <w:gridCol w:w="1458"/>
    </w:tblGrid>
    <w:tr w:rsidR="004747C5" w:rsidRPr="00035BE0">
      <w:trPr>
        <w:trHeight w:val="20"/>
      </w:trPr>
      <w:tc>
        <w:tcPr>
          <w:tcW w:w="3221" w:type="dxa"/>
          <w:noWrap/>
        </w:tcPr>
        <w:p w:rsidR="004747C5" w:rsidRPr="00D35DCB" w:rsidRDefault="004747C5" w:rsidP="00E80CC8">
          <w:r>
            <w:t>AECOM</w:t>
          </w:r>
        </w:p>
      </w:tc>
      <w:tc>
        <w:tcPr>
          <w:tcW w:w="3569" w:type="dxa"/>
          <w:noWrap/>
        </w:tcPr>
        <w:p w:rsidR="004747C5" w:rsidRPr="00687BDA" w:rsidRDefault="004747C5" w:rsidP="00E80CC8"/>
      </w:tc>
      <w:tc>
        <w:tcPr>
          <w:tcW w:w="1832" w:type="dxa"/>
        </w:tcPr>
        <w:p w:rsidR="004747C5" w:rsidRPr="00B70F5C" w:rsidRDefault="004747C5" w:rsidP="00E80CC8"/>
      </w:tc>
      <w:tc>
        <w:tcPr>
          <w:tcW w:w="1458" w:type="dxa"/>
        </w:tcPr>
        <w:p w:rsidR="004747C5" w:rsidRPr="00D35DCB" w:rsidRDefault="004747C5" w:rsidP="00E80CC8">
          <w:fldSimple w:instr=" PAGE   \* MERGEFORMAT ">
            <w:r>
              <w:rPr>
                <w:noProof/>
              </w:rPr>
              <w:t>52</w:t>
            </w:r>
          </w:fldSimple>
        </w:p>
      </w:tc>
    </w:tr>
  </w:tbl>
  <w:p w:rsidR="004747C5" w:rsidRDefault="004747C5"/>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B7A69D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6EAF11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4D2D3D0"/>
    <w:lvl w:ilvl="0">
      <w:start w:val="1"/>
      <w:numFmt w:val="decimal"/>
      <w:lvlText w:val="%1."/>
      <w:lvlJc w:val="left"/>
      <w:pPr>
        <w:tabs>
          <w:tab w:val="num" w:pos="926"/>
        </w:tabs>
        <w:ind w:left="926" w:hanging="360"/>
      </w:pPr>
    </w:lvl>
  </w:abstractNum>
  <w:abstractNum w:abstractNumId="3">
    <w:nsid w:val="FFFFFF7F"/>
    <w:multiLevelType w:val="singleLevel"/>
    <w:tmpl w:val="EE3E55E0"/>
    <w:lvl w:ilvl="0">
      <w:start w:val="1"/>
      <w:numFmt w:val="decimal"/>
      <w:lvlText w:val="%1."/>
      <w:lvlJc w:val="left"/>
      <w:pPr>
        <w:tabs>
          <w:tab w:val="num" w:pos="643"/>
        </w:tabs>
        <w:ind w:left="643" w:hanging="360"/>
      </w:pPr>
    </w:lvl>
  </w:abstractNum>
  <w:abstractNum w:abstractNumId="4">
    <w:nsid w:val="FFFFFF80"/>
    <w:multiLevelType w:val="singleLevel"/>
    <w:tmpl w:val="181A102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DADEFE7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8"/>
    <w:multiLevelType w:val="singleLevel"/>
    <w:tmpl w:val="E0EA0AE8"/>
    <w:lvl w:ilvl="0">
      <w:start w:val="1"/>
      <w:numFmt w:val="decimal"/>
      <w:lvlText w:val="%1."/>
      <w:lvlJc w:val="left"/>
      <w:pPr>
        <w:tabs>
          <w:tab w:val="num" w:pos="360"/>
        </w:tabs>
        <w:ind w:left="360" w:hanging="360"/>
      </w:pPr>
    </w:lvl>
  </w:abstractNum>
  <w:abstractNum w:abstractNumId="7">
    <w:nsid w:val="FFFFFF89"/>
    <w:multiLevelType w:val="singleLevel"/>
    <w:tmpl w:val="6A387F4C"/>
    <w:lvl w:ilvl="0">
      <w:start w:val="1"/>
      <w:numFmt w:val="bullet"/>
      <w:lvlText w:val=""/>
      <w:lvlJc w:val="left"/>
      <w:pPr>
        <w:tabs>
          <w:tab w:val="num" w:pos="360"/>
        </w:tabs>
        <w:ind w:left="360" w:hanging="360"/>
      </w:pPr>
      <w:rPr>
        <w:rFonts w:ascii="Symbol" w:hAnsi="Symbol" w:hint="default"/>
      </w:rPr>
    </w:lvl>
  </w:abstractNum>
  <w:abstractNum w:abstractNumId="8">
    <w:nsid w:val="06DD69E9"/>
    <w:multiLevelType w:val="multilevel"/>
    <w:tmpl w:val="149E5684"/>
    <w:lvl w:ilvl="0">
      <w:start w:val="1"/>
      <w:numFmt w:val="decimal"/>
      <w:pStyle w:val="Heading1"/>
      <w:lvlText w:val="%1."/>
      <w:lvlJc w:val="left"/>
      <w:pPr>
        <w:ind w:left="851" w:hanging="851"/>
      </w:pPr>
      <w:rPr>
        <w:rFonts w:hint="default"/>
      </w:rPr>
    </w:lvl>
    <w:lvl w:ilvl="1">
      <w:start w:val="1"/>
      <w:numFmt w:val="decimal"/>
      <w:pStyle w:val="Heading2"/>
      <w:lvlText w:val="%1.%2"/>
      <w:lvlJc w:val="left"/>
      <w:pPr>
        <w:ind w:left="851" w:hanging="851"/>
      </w:pPr>
      <w:rPr>
        <w:rFonts w:hint="default"/>
      </w:rPr>
    </w:lvl>
    <w:lvl w:ilvl="2">
      <w:start w:val="1"/>
      <w:numFmt w:val="decimal"/>
      <w:pStyle w:val="Heading3"/>
      <w:lvlText w:val="%1.%2.%3"/>
      <w:lvlJc w:val="left"/>
      <w:pPr>
        <w:ind w:left="851" w:hanging="851"/>
      </w:pPr>
      <w:rPr>
        <w:rFonts w:hint="default"/>
      </w:rPr>
    </w:lvl>
    <w:lvl w:ilvl="3">
      <w:start w:val="1"/>
      <w:numFmt w:val="decimal"/>
      <w:pStyle w:val="Heading4"/>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pStyle w:val="Heading6"/>
      <w:lvlText w:val="%1.%2.%3.%4.%5.%6"/>
      <w:lvlJc w:val="left"/>
      <w:pPr>
        <w:ind w:left="851" w:hanging="851"/>
      </w:pPr>
      <w:rPr>
        <w:rFonts w:hint="default"/>
      </w:rPr>
    </w:lvl>
    <w:lvl w:ilvl="6">
      <w:start w:val="1"/>
      <w:numFmt w:val="none"/>
      <w:pStyle w:val="Heading7"/>
      <w:lvlText w:val=""/>
      <w:lvlJc w:val="left"/>
      <w:pPr>
        <w:ind w:left="851" w:hanging="851"/>
      </w:pPr>
      <w:rPr>
        <w:rFonts w:hint="default"/>
      </w:rPr>
    </w:lvl>
    <w:lvl w:ilvl="7">
      <w:start w:val="1"/>
      <w:numFmt w:val="lowerLetter"/>
      <w:pStyle w:val="Heading8"/>
      <w:lvlText w:val="%8."/>
      <w:lvlJc w:val="left"/>
      <w:pPr>
        <w:ind w:left="851" w:hanging="851"/>
      </w:pPr>
      <w:rPr>
        <w:rFonts w:hint="default"/>
      </w:rPr>
    </w:lvl>
    <w:lvl w:ilvl="8">
      <w:start w:val="1"/>
      <w:numFmt w:val="lowerRoman"/>
      <w:pStyle w:val="Heading9"/>
      <w:lvlText w:val="%9."/>
      <w:lvlJc w:val="left"/>
      <w:pPr>
        <w:ind w:left="851" w:hanging="851"/>
      </w:pPr>
      <w:rPr>
        <w:rFonts w:hint="default"/>
      </w:rPr>
    </w:lvl>
  </w:abstractNum>
  <w:abstractNum w:abstractNumId="9">
    <w:nsid w:val="08AB481A"/>
    <w:multiLevelType w:val="multilevel"/>
    <w:tmpl w:val="22544628"/>
    <w:styleLink w:val="AECOMNumbering"/>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0">
    <w:nsid w:val="0E406F3E"/>
    <w:multiLevelType w:val="multilevel"/>
    <w:tmpl w:val="1F30E436"/>
    <w:styleLink w:val="AECOMSectionnumbering"/>
    <w:lvl w:ilvl="0">
      <w:start w:val="1"/>
      <w:numFmt w:val="decimalZero"/>
      <w:lvlText w:val="%1"/>
      <w:lvlJc w:val="left"/>
      <w:pPr>
        <w:ind w:left="1134" w:hanging="113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0FB82709"/>
    <w:multiLevelType w:val="hybridMultilevel"/>
    <w:tmpl w:val="872416BE"/>
    <w:lvl w:ilvl="0" w:tplc="BDEE03DE">
      <w:start w:val="1"/>
      <w:numFmt w:val="bullet"/>
      <w:lvlText w:val="•"/>
      <w:lvlJc w:val="left"/>
      <w:pPr>
        <w:tabs>
          <w:tab w:val="num" w:pos="720"/>
        </w:tabs>
        <w:ind w:left="720" w:hanging="360"/>
      </w:pPr>
      <w:rPr>
        <w:rFonts w:ascii="Arial" w:hAnsi="Arial" w:hint="default"/>
      </w:rPr>
    </w:lvl>
    <w:lvl w:ilvl="1" w:tplc="AE2E8B9E" w:tentative="1">
      <w:start w:val="1"/>
      <w:numFmt w:val="bullet"/>
      <w:lvlText w:val="•"/>
      <w:lvlJc w:val="left"/>
      <w:pPr>
        <w:tabs>
          <w:tab w:val="num" w:pos="1440"/>
        </w:tabs>
        <w:ind w:left="1440" w:hanging="360"/>
      </w:pPr>
      <w:rPr>
        <w:rFonts w:ascii="Arial" w:hAnsi="Arial" w:hint="default"/>
      </w:rPr>
    </w:lvl>
    <w:lvl w:ilvl="2" w:tplc="C3C601BC" w:tentative="1">
      <w:start w:val="1"/>
      <w:numFmt w:val="bullet"/>
      <w:lvlText w:val="•"/>
      <w:lvlJc w:val="left"/>
      <w:pPr>
        <w:tabs>
          <w:tab w:val="num" w:pos="2160"/>
        </w:tabs>
        <w:ind w:left="2160" w:hanging="360"/>
      </w:pPr>
      <w:rPr>
        <w:rFonts w:ascii="Arial" w:hAnsi="Arial" w:hint="default"/>
      </w:rPr>
    </w:lvl>
    <w:lvl w:ilvl="3" w:tplc="0158077E" w:tentative="1">
      <w:start w:val="1"/>
      <w:numFmt w:val="bullet"/>
      <w:lvlText w:val="•"/>
      <w:lvlJc w:val="left"/>
      <w:pPr>
        <w:tabs>
          <w:tab w:val="num" w:pos="2880"/>
        </w:tabs>
        <w:ind w:left="2880" w:hanging="360"/>
      </w:pPr>
      <w:rPr>
        <w:rFonts w:ascii="Arial" w:hAnsi="Arial" w:hint="default"/>
      </w:rPr>
    </w:lvl>
    <w:lvl w:ilvl="4" w:tplc="EB88607A" w:tentative="1">
      <w:start w:val="1"/>
      <w:numFmt w:val="bullet"/>
      <w:lvlText w:val="•"/>
      <w:lvlJc w:val="left"/>
      <w:pPr>
        <w:tabs>
          <w:tab w:val="num" w:pos="3600"/>
        </w:tabs>
        <w:ind w:left="3600" w:hanging="360"/>
      </w:pPr>
      <w:rPr>
        <w:rFonts w:ascii="Arial" w:hAnsi="Arial" w:hint="default"/>
      </w:rPr>
    </w:lvl>
    <w:lvl w:ilvl="5" w:tplc="8094131C" w:tentative="1">
      <w:start w:val="1"/>
      <w:numFmt w:val="bullet"/>
      <w:lvlText w:val="•"/>
      <w:lvlJc w:val="left"/>
      <w:pPr>
        <w:tabs>
          <w:tab w:val="num" w:pos="4320"/>
        </w:tabs>
        <w:ind w:left="4320" w:hanging="360"/>
      </w:pPr>
      <w:rPr>
        <w:rFonts w:ascii="Arial" w:hAnsi="Arial" w:hint="default"/>
      </w:rPr>
    </w:lvl>
    <w:lvl w:ilvl="6" w:tplc="88B29F56" w:tentative="1">
      <w:start w:val="1"/>
      <w:numFmt w:val="bullet"/>
      <w:lvlText w:val="•"/>
      <w:lvlJc w:val="left"/>
      <w:pPr>
        <w:tabs>
          <w:tab w:val="num" w:pos="5040"/>
        </w:tabs>
        <w:ind w:left="5040" w:hanging="360"/>
      </w:pPr>
      <w:rPr>
        <w:rFonts w:ascii="Arial" w:hAnsi="Arial" w:hint="default"/>
      </w:rPr>
    </w:lvl>
    <w:lvl w:ilvl="7" w:tplc="0DD02BFA" w:tentative="1">
      <w:start w:val="1"/>
      <w:numFmt w:val="bullet"/>
      <w:lvlText w:val="•"/>
      <w:lvlJc w:val="left"/>
      <w:pPr>
        <w:tabs>
          <w:tab w:val="num" w:pos="5760"/>
        </w:tabs>
        <w:ind w:left="5760" w:hanging="360"/>
      </w:pPr>
      <w:rPr>
        <w:rFonts w:ascii="Arial" w:hAnsi="Arial" w:hint="default"/>
      </w:rPr>
    </w:lvl>
    <w:lvl w:ilvl="8" w:tplc="9668BD76" w:tentative="1">
      <w:start w:val="1"/>
      <w:numFmt w:val="bullet"/>
      <w:lvlText w:val="•"/>
      <w:lvlJc w:val="left"/>
      <w:pPr>
        <w:tabs>
          <w:tab w:val="num" w:pos="6480"/>
        </w:tabs>
        <w:ind w:left="6480" w:hanging="360"/>
      </w:pPr>
      <w:rPr>
        <w:rFonts w:ascii="Arial" w:hAnsi="Arial" w:hint="default"/>
      </w:rPr>
    </w:lvl>
  </w:abstractNum>
  <w:abstractNum w:abstractNumId="12">
    <w:nsid w:val="192A26E9"/>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nsid w:val="1A8B00A2"/>
    <w:multiLevelType w:val="multilevel"/>
    <w:tmpl w:val="DB3C37A8"/>
    <w:name w:val="AECOM Outline numbering"/>
    <w:styleLink w:val="AECOMAppendix"/>
    <w:lvl w:ilvl="0">
      <w:start w:val="1"/>
      <w:numFmt w:val="upperLetter"/>
      <w:suff w:val="nothing"/>
      <w:lvlText w:val="Appendix %1  "/>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228325AB"/>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A0118C5"/>
    <w:multiLevelType w:val="multilevel"/>
    <w:tmpl w:val="DC22BBC8"/>
    <w:styleLink w:val="AECOMTable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Calibri" w:hAnsi="Calibri" w:hint="default"/>
        <w:color w:val="auto"/>
      </w:rPr>
    </w:lvl>
    <w:lvl w:ilvl="2">
      <w:start w:val="1"/>
      <w:numFmt w:val="bullet"/>
      <w:lvlText w:val="o"/>
      <w:lvlJc w:val="left"/>
      <w:pPr>
        <w:ind w:left="852" w:hanging="284"/>
      </w:pPr>
      <w:rPr>
        <w:rFonts w:ascii="Courier New" w:hAnsi="Courier New" w:hint="default"/>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o"/>
      <w:lvlJc w:val="left"/>
      <w:pPr>
        <w:ind w:left="1704" w:hanging="284"/>
      </w:pPr>
      <w:rPr>
        <w:rFonts w:ascii="Courier New" w:hAnsi="Courier New" w:hint="default"/>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Calibri" w:hAnsi="Calibri" w:hint="default"/>
        <w:color w:val="auto"/>
      </w:rPr>
    </w:lvl>
    <w:lvl w:ilvl="8">
      <w:start w:val="1"/>
      <w:numFmt w:val="bullet"/>
      <w:lvlText w:val="o"/>
      <w:lvlJc w:val="left"/>
      <w:pPr>
        <w:ind w:left="2556" w:hanging="284"/>
      </w:pPr>
      <w:rPr>
        <w:rFonts w:ascii="Courier New" w:hAnsi="Courier New" w:hint="default"/>
      </w:rPr>
    </w:lvl>
  </w:abstractNum>
  <w:abstractNum w:abstractNumId="16">
    <w:nsid w:val="3754570F"/>
    <w:multiLevelType w:val="multilevel"/>
    <w:tmpl w:val="97505A4E"/>
    <w:name w:val="AECOM Outline numbering3"/>
    <w:lvl w:ilvl="0">
      <w:start w:val="1"/>
      <w:numFmt w:val="upperLetter"/>
      <w:suff w:val="space"/>
      <w:lvlText w:val="Appendix %1"/>
      <w:lvlJc w:val="left"/>
      <w:pPr>
        <w:ind w:left="0" w:firstLine="0"/>
      </w:pPr>
      <w:rPr>
        <w:rFonts w:hint="default"/>
      </w:rPr>
    </w:lvl>
    <w:lvl w:ilvl="1">
      <w:start w:val="1"/>
      <w:numFmt w:val="decimal"/>
      <w:lvlText w:val="%1.%2"/>
      <w:lvlJc w:val="left"/>
      <w:pPr>
        <w:ind w:left="357"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3A383484"/>
    <w:multiLevelType w:val="multilevel"/>
    <w:tmpl w:val="60B68AA8"/>
    <w:styleLink w:val="AECOMTableNumbering"/>
    <w:lvl w:ilvl="0">
      <w:start w:val="1"/>
      <w:numFmt w:val="decimal"/>
      <w:pStyle w:val="TableListNumber"/>
      <w:lvlText w:val="%1."/>
      <w:lvlJc w:val="left"/>
      <w:pPr>
        <w:ind w:left="284" w:hanging="284"/>
      </w:pPr>
      <w:rPr>
        <w:rFonts w:hint="default"/>
      </w:rPr>
    </w:lvl>
    <w:lvl w:ilvl="1">
      <w:start w:val="1"/>
      <w:numFmt w:val="lowerLetter"/>
      <w:pStyle w:val="TableListNumber2"/>
      <w:lvlText w:val="%2."/>
      <w:lvlJc w:val="left"/>
      <w:pPr>
        <w:ind w:left="568" w:hanging="284"/>
      </w:pPr>
      <w:rPr>
        <w:rFonts w:hint="default"/>
      </w:rPr>
    </w:lvl>
    <w:lvl w:ilvl="2">
      <w:start w:val="1"/>
      <w:numFmt w:val="lowerRoman"/>
      <w:pStyle w:val="TableListNumber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8">
    <w:nsid w:val="43973517"/>
    <w:multiLevelType w:val="hybridMultilevel"/>
    <w:tmpl w:val="BEB01BD4"/>
    <w:lvl w:ilvl="0" w:tplc="EC702CBC">
      <w:start w:val="1"/>
      <w:numFmt w:val="bullet"/>
      <w:lvlText w:val="•"/>
      <w:lvlJc w:val="left"/>
      <w:pPr>
        <w:tabs>
          <w:tab w:val="num" w:pos="720"/>
        </w:tabs>
        <w:ind w:left="720" w:hanging="360"/>
      </w:pPr>
      <w:rPr>
        <w:rFonts w:ascii="Arial" w:hAnsi="Arial" w:hint="default"/>
      </w:rPr>
    </w:lvl>
    <w:lvl w:ilvl="1" w:tplc="B4DC0720" w:tentative="1">
      <w:start w:val="1"/>
      <w:numFmt w:val="bullet"/>
      <w:lvlText w:val="•"/>
      <w:lvlJc w:val="left"/>
      <w:pPr>
        <w:tabs>
          <w:tab w:val="num" w:pos="1440"/>
        </w:tabs>
        <w:ind w:left="1440" w:hanging="360"/>
      </w:pPr>
      <w:rPr>
        <w:rFonts w:ascii="Arial" w:hAnsi="Arial" w:hint="default"/>
      </w:rPr>
    </w:lvl>
    <w:lvl w:ilvl="2" w:tplc="AA843CA2" w:tentative="1">
      <w:start w:val="1"/>
      <w:numFmt w:val="bullet"/>
      <w:lvlText w:val="•"/>
      <w:lvlJc w:val="left"/>
      <w:pPr>
        <w:tabs>
          <w:tab w:val="num" w:pos="2160"/>
        </w:tabs>
        <w:ind w:left="2160" w:hanging="360"/>
      </w:pPr>
      <w:rPr>
        <w:rFonts w:ascii="Arial" w:hAnsi="Arial" w:hint="default"/>
      </w:rPr>
    </w:lvl>
    <w:lvl w:ilvl="3" w:tplc="630E7A4C" w:tentative="1">
      <w:start w:val="1"/>
      <w:numFmt w:val="bullet"/>
      <w:lvlText w:val="•"/>
      <w:lvlJc w:val="left"/>
      <w:pPr>
        <w:tabs>
          <w:tab w:val="num" w:pos="2880"/>
        </w:tabs>
        <w:ind w:left="2880" w:hanging="360"/>
      </w:pPr>
      <w:rPr>
        <w:rFonts w:ascii="Arial" w:hAnsi="Arial" w:hint="default"/>
      </w:rPr>
    </w:lvl>
    <w:lvl w:ilvl="4" w:tplc="565C8666" w:tentative="1">
      <w:start w:val="1"/>
      <w:numFmt w:val="bullet"/>
      <w:lvlText w:val="•"/>
      <w:lvlJc w:val="left"/>
      <w:pPr>
        <w:tabs>
          <w:tab w:val="num" w:pos="3600"/>
        </w:tabs>
        <w:ind w:left="3600" w:hanging="360"/>
      </w:pPr>
      <w:rPr>
        <w:rFonts w:ascii="Arial" w:hAnsi="Arial" w:hint="default"/>
      </w:rPr>
    </w:lvl>
    <w:lvl w:ilvl="5" w:tplc="5FE444C2" w:tentative="1">
      <w:start w:val="1"/>
      <w:numFmt w:val="bullet"/>
      <w:lvlText w:val="•"/>
      <w:lvlJc w:val="left"/>
      <w:pPr>
        <w:tabs>
          <w:tab w:val="num" w:pos="4320"/>
        </w:tabs>
        <w:ind w:left="4320" w:hanging="360"/>
      </w:pPr>
      <w:rPr>
        <w:rFonts w:ascii="Arial" w:hAnsi="Arial" w:hint="default"/>
      </w:rPr>
    </w:lvl>
    <w:lvl w:ilvl="6" w:tplc="3B907978" w:tentative="1">
      <w:start w:val="1"/>
      <w:numFmt w:val="bullet"/>
      <w:lvlText w:val="•"/>
      <w:lvlJc w:val="left"/>
      <w:pPr>
        <w:tabs>
          <w:tab w:val="num" w:pos="5040"/>
        </w:tabs>
        <w:ind w:left="5040" w:hanging="360"/>
      </w:pPr>
      <w:rPr>
        <w:rFonts w:ascii="Arial" w:hAnsi="Arial" w:hint="default"/>
      </w:rPr>
    </w:lvl>
    <w:lvl w:ilvl="7" w:tplc="6F64CBC4" w:tentative="1">
      <w:start w:val="1"/>
      <w:numFmt w:val="bullet"/>
      <w:lvlText w:val="•"/>
      <w:lvlJc w:val="left"/>
      <w:pPr>
        <w:tabs>
          <w:tab w:val="num" w:pos="5760"/>
        </w:tabs>
        <w:ind w:left="5760" w:hanging="360"/>
      </w:pPr>
      <w:rPr>
        <w:rFonts w:ascii="Arial" w:hAnsi="Arial" w:hint="default"/>
      </w:rPr>
    </w:lvl>
    <w:lvl w:ilvl="8" w:tplc="AC12E180" w:tentative="1">
      <w:start w:val="1"/>
      <w:numFmt w:val="bullet"/>
      <w:lvlText w:val="•"/>
      <w:lvlJc w:val="left"/>
      <w:pPr>
        <w:tabs>
          <w:tab w:val="num" w:pos="6480"/>
        </w:tabs>
        <w:ind w:left="6480" w:hanging="360"/>
      </w:pPr>
      <w:rPr>
        <w:rFonts w:ascii="Arial" w:hAnsi="Arial" w:hint="default"/>
      </w:rPr>
    </w:lvl>
  </w:abstractNum>
  <w:abstractNum w:abstractNumId="19">
    <w:nsid w:val="4644573A"/>
    <w:multiLevelType w:val="multilevel"/>
    <w:tmpl w:val="3F9A613A"/>
    <w:styleLink w:val="AECOMBullets"/>
    <w:lvl w:ilvl="0">
      <w:start w:val="1"/>
      <w:numFmt w:val="bullet"/>
      <w:lvlText w:val=""/>
      <w:lvlJc w:val="left"/>
      <w:pPr>
        <w:ind w:left="284" w:hanging="284"/>
      </w:pPr>
      <w:rPr>
        <w:rFonts w:ascii="Symbol" w:hAnsi="Symbol" w:hint="default"/>
        <w:color w:val="auto"/>
      </w:rPr>
    </w:lvl>
    <w:lvl w:ilvl="1">
      <w:start w:val="1"/>
      <w:numFmt w:val="bullet"/>
      <w:lvlText w:val="o"/>
      <w:lvlJc w:val="left"/>
      <w:pPr>
        <w:ind w:left="568" w:hanging="284"/>
      </w:pPr>
      <w:rPr>
        <w:rFonts w:ascii="Courier New" w:hAnsi="Courier New" w:hint="default"/>
        <w:color w:val="auto"/>
      </w:rPr>
    </w:lvl>
    <w:lvl w:ilvl="2">
      <w:start w:val="1"/>
      <w:numFmt w:val="bullet"/>
      <w:lvlText w:val="─"/>
      <w:lvlJc w:val="left"/>
      <w:pPr>
        <w:ind w:left="852" w:hanging="284"/>
      </w:pPr>
      <w:rPr>
        <w:rFonts w:ascii="Calibri" w:hAnsi="Calibri" w:hint="default"/>
        <w:color w:val="auto"/>
      </w:rPr>
    </w:lvl>
    <w:lvl w:ilvl="3">
      <w:start w:val="1"/>
      <w:numFmt w:val="bullet"/>
      <w:lvlText w:val=""/>
      <w:lvlJc w:val="left"/>
      <w:pPr>
        <w:ind w:left="1136" w:hanging="284"/>
      </w:pPr>
      <w:rPr>
        <w:rFonts w:ascii="Symbol" w:hAnsi="Symbol" w:hint="default"/>
      </w:rPr>
    </w:lvl>
    <w:lvl w:ilvl="4">
      <w:start w:val="1"/>
      <w:numFmt w:val="bullet"/>
      <w:lvlText w:val="o"/>
      <w:lvlJc w:val="left"/>
      <w:pPr>
        <w:ind w:left="1420" w:hanging="284"/>
      </w:pPr>
      <w:rPr>
        <w:rFonts w:ascii="Courier New" w:hAnsi="Courier New" w:hint="default"/>
      </w:rPr>
    </w:lvl>
    <w:lvl w:ilvl="5">
      <w:start w:val="1"/>
      <w:numFmt w:val="bullet"/>
      <w:lvlText w:val=""/>
      <w:lvlJc w:val="left"/>
      <w:pPr>
        <w:tabs>
          <w:tab w:val="num" w:pos="2346"/>
        </w:tabs>
        <w:ind w:left="1704" w:hanging="284"/>
      </w:pPr>
      <w:rPr>
        <w:rFonts w:ascii="Wingdings" w:hAnsi="Wingdings" w:hint="default"/>
      </w:rPr>
    </w:lvl>
    <w:lvl w:ilvl="6">
      <w:start w:val="1"/>
      <w:numFmt w:val="bullet"/>
      <w:lvlText w:val=""/>
      <w:lvlJc w:val="left"/>
      <w:pPr>
        <w:tabs>
          <w:tab w:val="num" w:pos="2630"/>
        </w:tabs>
        <w:ind w:left="1988" w:hanging="284"/>
      </w:pPr>
      <w:rPr>
        <w:rFonts w:ascii="Symbol" w:hAnsi="Symbol" w:hint="default"/>
      </w:rPr>
    </w:lvl>
    <w:lvl w:ilvl="7">
      <w:start w:val="1"/>
      <w:numFmt w:val="bullet"/>
      <w:lvlText w:val="o"/>
      <w:lvlJc w:val="left"/>
      <w:pPr>
        <w:tabs>
          <w:tab w:val="num" w:pos="2914"/>
        </w:tabs>
        <w:ind w:left="2272" w:hanging="284"/>
      </w:pPr>
      <w:rPr>
        <w:rFonts w:ascii="Courier New" w:hAnsi="Courier New" w:cs="Courier New" w:hint="default"/>
      </w:rPr>
    </w:lvl>
    <w:lvl w:ilvl="8">
      <w:start w:val="1"/>
      <w:numFmt w:val="bullet"/>
      <w:lvlText w:val=""/>
      <w:lvlJc w:val="left"/>
      <w:pPr>
        <w:tabs>
          <w:tab w:val="num" w:pos="3198"/>
        </w:tabs>
        <w:ind w:left="2556" w:hanging="284"/>
      </w:pPr>
      <w:rPr>
        <w:rFonts w:ascii="Wingdings" w:hAnsi="Wingdings" w:hint="default"/>
      </w:rPr>
    </w:lvl>
  </w:abstractNum>
  <w:abstractNum w:abstractNumId="20">
    <w:nsid w:val="4C2D2806"/>
    <w:multiLevelType w:val="hybridMultilevel"/>
    <w:tmpl w:val="73A062D6"/>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21">
    <w:nsid w:val="4D0C0132"/>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4E1549B9"/>
    <w:multiLevelType w:val="multilevel"/>
    <w:tmpl w:val="A4EC5F26"/>
    <w:lvl w:ilvl="0">
      <w:start w:val="1"/>
      <w:numFmt w:val="upperLetter"/>
      <w:pStyle w:val="Appendix"/>
      <w:suff w:val="space"/>
      <w:lvlText w:val="Appendix %1"/>
      <w:lvlJc w:val="left"/>
      <w:pPr>
        <w:ind w:left="0" w:firstLine="0"/>
      </w:pPr>
      <w:rPr>
        <w:rFonts w:hint="default"/>
      </w:rPr>
    </w:lvl>
    <w:lvl w:ilvl="1">
      <w:start w:val="1"/>
      <w:numFmt w:val="decimal"/>
      <w:pStyle w:val="Appendixheading2"/>
      <w:lvlText w:val="%1.%2"/>
      <w:lvlJc w:val="left"/>
      <w:pPr>
        <w:ind w:left="862" w:hanging="72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4F926A09"/>
    <w:multiLevelType w:val="multilevel"/>
    <w:tmpl w:val="99F01D82"/>
    <w:lvl w:ilvl="0">
      <w:start w:val="1"/>
      <w:numFmt w:val="bullet"/>
      <w:pStyle w:val="TableListBullet"/>
      <w:lvlText w:val=""/>
      <w:lvlJc w:val="left"/>
      <w:pPr>
        <w:ind w:left="284" w:hanging="284"/>
      </w:pPr>
      <w:rPr>
        <w:rFonts w:ascii="Symbol" w:hAnsi="Symbol" w:hint="default"/>
        <w:color w:val="auto"/>
      </w:rPr>
    </w:lvl>
    <w:lvl w:ilvl="1">
      <w:start w:val="1"/>
      <w:numFmt w:val="bullet"/>
      <w:pStyle w:val="TableListBullet2"/>
      <w:lvlText w:val="─"/>
      <w:lvlJc w:val="left"/>
      <w:pPr>
        <w:ind w:left="568" w:hanging="284"/>
      </w:pPr>
      <w:rPr>
        <w:rFonts w:ascii="Calibri" w:hAnsi="Calibri" w:hint="default"/>
        <w:color w:val="auto"/>
      </w:rPr>
    </w:lvl>
    <w:lvl w:ilvl="2">
      <w:start w:val="1"/>
      <w:numFmt w:val="bullet"/>
      <w:pStyle w:val="TableListBullet3"/>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Calibri" w:hAnsi="Calibri" w:hint="default"/>
        <w:color w:val="auto"/>
      </w:rPr>
    </w:lvl>
    <w:lvl w:ilvl="8">
      <w:start w:val="1"/>
      <w:numFmt w:val="bullet"/>
      <w:lvlText w:val=""/>
      <w:lvlJc w:val="left"/>
      <w:pPr>
        <w:ind w:left="2556" w:hanging="284"/>
      </w:pPr>
      <w:rPr>
        <w:rFonts w:ascii="Wingdings" w:hAnsi="Wingdings" w:hint="default"/>
      </w:rPr>
    </w:lvl>
  </w:abstractNum>
  <w:abstractNum w:abstractNumId="24">
    <w:nsid w:val="51880F48"/>
    <w:multiLevelType w:val="multilevel"/>
    <w:tmpl w:val="5B6227C6"/>
    <w:styleLink w:val="AECOMList"/>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tabs>
          <w:tab w:val="num" w:pos="1431"/>
        </w:tabs>
        <w:ind w:left="1428" w:hanging="357"/>
      </w:pPr>
      <w:rPr>
        <w:rFonts w:hint="default"/>
      </w:rPr>
    </w:lvl>
    <w:lvl w:ilvl="4">
      <w:start w:val="1"/>
      <w:numFmt w:val="lowerLetter"/>
      <w:lvlText w:val="%5."/>
      <w:lvlJc w:val="left"/>
      <w:pPr>
        <w:tabs>
          <w:tab w:val="num" w:pos="1788"/>
        </w:tabs>
        <w:ind w:left="1785" w:hanging="357"/>
      </w:pPr>
      <w:rPr>
        <w:rFonts w:hint="default"/>
      </w:rPr>
    </w:lvl>
    <w:lvl w:ilvl="5">
      <w:start w:val="1"/>
      <w:numFmt w:val="lowerRoman"/>
      <w:lvlText w:val="%6."/>
      <w:lvlJc w:val="right"/>
      <w:pPr>
        <w:tabs>
          <w:tab w:val="num" w:pos="2145"/>
        </w:tabs>
        <w:ind w:left="2142" w:hanging="357"/>
      </w:pPr>
      <w:rPr>
        <w:rFonts w:hint="default"/>
      </w:rPr>
    </w:lvl>
    <w:lvl w:ilvl="6">
      <w:start w:val="1"/>
      <w:numFmt w:val="decimal"/>
      <w:lvlText w:val="%7."/>
      <w:lvlJc w:val="left"/>
      <w:pPr>
        <w:tabs>
          <w:tab w:val="num" w:pos="2502"/>
        </w:tabs>
        <w:ind w:left="2499" w:hanging="357"/>
      </w:pPr>
      <w:rPr>
        <w:rFonts w:hint="default"/>
      </w:rPr>
    </w:lvl>
    <w:lvl w:ilvl="7">
      <w:start w:val="1"/>
      <w:numFmt w:val="lowerLetter"/>
      <w:lvlText w:val="%8."/>
      <w:lvlJc w:val="left"/>
      <w:pPr>
        <w:tabs>
          <w:tab w:val="num" w:pos="2859"/>
        </w:tabs>
        <w:ind w:left="2856" w:hanging="357"/>
      </w:pPr>
      <w:rPr>
        <w:rFonts w:hint="default"/>
      </w:rPr>
    </w:lvl>
    <w:lvl w:ilvl="8">
      <w:start w:val="1"/>
      <w:numFmt w:val="lowerRoman"/>
      <w:lvlText w:val="%9."/>
      <w:lvlJc w:val="right"/>
      <w:pPr>
        <w:tabs>
          <w:tab w:val="num" w:pos="3216"/>
        </w:tabs>
        <w:ind w:left="3213" w:hanging="357"/>
      </w:pPr>
      <w:rPr>
        <w:rFonts w:hint="default"/>
      </w:rPr>
    </w:lvl>
  </w:abstractNum>
  <w:abstractNum w:abstractNumId="25">
    <w:nsid w:val="5571285C"/>
    <w:multiLevelType w:val="multilevel"/>
    <w:tmpl w:val="5442DFBE"/>
    <w:name w:val="AECOM Outline numbering2"/>
    <w:lvl w:ilvl="0">
      <w:start w:val="1"/>
      <w:numFmt w:val="decimal"/>
      <w:lvlRestart w:val="0"/>
      <w:lvlText w:val="%1."/>
      <w:lvlJc w:val="left"/>
      <w:pPr>
        <w:tabs>
          <w:tab w:val="num" w:pos="850"/>
        </w:tabs>
        <w:ind w:left="850" w:hanging="85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decimal"/>
      <w:pStyle w:val="Heading5"/>
      <w:lvlText w:val="%1.%2.%3.%4.%5"/>
      <w:lvlJc w:val="left"/>
      <w:pPr>
        <w:tabs>
          <w:tab w:val="num" w:pos="850"/>
        </w:tabs>
        <w:ind w:left="850" w:hanging="850"/>
      </w:pPr>
      <w:rPr>
        <w:rFonts w:hint="default"/>
      </w:rPr>
    </w:lvl>
    <w:lvl w:ilvl="5">
      <w:start w:val="1"/>
      <w:numFmt w:val="decimal"/>
      <w:lvlText w:val="%1.%2.%3.%4.%5.%6"/>
      <w:lvlJc w:val="left"/>
      <w:pPr>
        <w:tabs>
          <w:tab w:val="num" w:pos="850"/>
        </w:tabs>
        <w:ind w:left="850" w:hanging="850"/>
      </w:pPr>
      <w:rPr>
        <w:rFonts w:hint="default"/>
      </w:rPr>
    </w:lvl>
    <w:lvl w:ilvl="6">
      <w:start w:val="1"/>
      <w:numFmt w:val="decimal"/>
      <w:lvlText w:val="%1.%2.%3.%4.%5.%6.%7"/>
      <w:lvlJc w:val="left"/>
      <w:pPr>
        <w:tabs>
          <w:tab w:val="num" w:pos="850"/>
        </w:tabs>
        <w:ind w:left="850" w:hanging="850"/>
      </w:pPr>
      <w:rPr>
        <w:rFonts w:hint="default"/>
      </w:rPr>
    </w:lvl>
    <w:lvl w:ilvl="7">
      <w:start w:val="1"/>
      <w:numFmt w:val="decimal"/>
      <w:lvlText w:val="%1.%2.%3.%4.%5.%6.%7.%8"/>
      <w:lvlJc w:val="left"/>
      <w:pPr>
        <w:tabs>
          <w:tab w:val="num" w:pos="850"/>
        </w:tabs>
        <w:ind w:left="850" w:hanging="850"/>
      </w:pPr>
      <w:rPr>
        <w:rFonts w:hint="default"/>
      </w:rPr>
    </w:lvl>
    <w:lvl w:ilvl="8">
      <w:start w:val="1"/>
      <w:numFmt w:val="decimal"/>
      <w:lvlText w:val="%1.%2.%3.%4.%5.%6.%7.%8.%9"/>
      <w:lvlJc w:val="left"/>
      <w:pPr>
        <w:tabs>
          <w:tab w:val="num" w:pos="850"/>
        </w:tabs>
        <w:ind w:left="850" w:hanging="850"/>
      </w:pPr>
      <w:rPr>
        <w:rFonts w:hint="default"/>
      </w:rPr>
    </w:lvl>
  </w:abstractNum>
  <w:abstractNum w:abstractNumId="26">
    <w:nsid w:val="659A027C"/>
    <w:multiLevelType w:val="multilevel"/>
    <w:tmpl w:val="C3285012"/>
    <w:lvl w:ilvl="0">
      <w:start w:val="1"/>
      <w:numFmt w:val="decimal"/>
      <w:pStyle w:val="ListNumber"/>
      <w:lvlText w:val="%1."/>
      <w:lvlJc w:val="left"/>
      <w:pPr>
        <w:ind w:left="425" w:hanging="425"/>
      </w:pPr>
      <w:rPr>
        <w:rFonts w:hint="default"/>
        <w:b w:val="0"/>
        <w:i w:val="0"/>
        <w:color w:val="auto"/>
        <w:sz w:val="18"/>
        <w:szCs w:val="18"/>
      </w:rPr>
    </w:lvl>
    <w:lvl w:ilvl="1">
      <w:start w:val="1"/>
      <w:numFmt w:val="lowerLetter"/>
      <w:pStyle w:val="ListNumber2"/>
      <w:lvlText w:val="%2."/>
      <w:lvlJc w:val="left"/>
      <w:pPr>
        <w:tabs>
          <w:tab w:val="num" w:pos="850"/>
        </w:tabs>
        <w:ind w:left="850" w:hanging="425"/>
      </w:pPr>
      <w:rPr>
        <w:rFonts w:hint="default"/>
      </w:rPr>
    </w:lvl>
    <w:lvl w:ilvl="2">
      <w:start w:val="1"/>
      <w:numFmt w:val="lowerRoman"/>
      <w:pStyle w:val="ListNumber3"/>
      <w:lvlText w:val="%3."/>
      <w:lvlJc w:val="left"/>
      <w:pPr>
        <w:tabs>
          <w:tab w:val="num" w:pos="1275"/>
        </w:tabs>
        <w:ind w:left="1275" w:hanging="425"/>
      </w:pPr>
      <w:rPr>
        <w:rFonts w:hint="default"/>
      </w:rPr>
    </w:lvl>
    <w:lvl w:ilvl="3">
      <w:start w:val="1"/>
      <w:numFmt w:val="decimal"/>
      <w:lvlText w:val="%4."/>
      <w:lvlJc w:val="left"/>
      <w:pPr>
        <w:tabs>
          <w:tab w:val="num" w:pos="1700"/>
        </w:tabs>
        <w:ind w:left="1700" w:hanging="425"/>
      </w:pPr>
      <w:rPr>
        <w:rFonts w:hint="default"/>
      </w:rPr>
    </w:lvl>
    <w:lvl w:ilvl="4">
      <w:start w:val="1"/>
      <w:numFmt w:val="lowerLetter"/>
      <w:lvlText w:val="%5."/>
      <w:lvlJc w:val="left"/>
      <w:pPr>
        <w:tabs>
          <w:tab w:val="num" w:pos="2125"/>
        </w:tabs>
        <w:ind w:left="2125" w:hanging="425"/>
      </w:pPr>
      <w:rPr>
        <w:rFonts w:hint="default"/>
      </w:rPr>
    </w:lvl>
    <w:lvl w:ilvl="5">
      <w:start w:val="1"/>
      <w:numFmt w:val="lowerRoman"/>
      <w:lvlText w:val="%6."/>
      <w:lvlJc w:val="right"/>
      <w:pPr>
        <w:tabs>
          <w:tab w:val="num" w:pos="2550"/>
        </w:tabs>
        <w:ind w:left="2550" w:hanging="425"/>
      </w:pPr>
      <w:rPr>
        <w:rFonts w:hint="default"/>
      </w:rPr>
    </w:lvl>
    <w:lvl w:ilvl="6">
      <w:start w:val="1"/>
      <w:numFmt w:val="decimal"/>
      <w:lvlText w:val="%7."/>
      <w:lvlJc w:val="left"/>
      <w:pPr>
        <w:tabs>
          <w:tab w:val="num" w:pos="2975"/>
        </w:tabs>
        <w:ind w:left="2975" w:hanging="425"/>
      </w:pPr>
      <w:rPr>
        <w:rFonts w:hint="default"/>
      </w:rPr>
    </w:lvl>
    <w:lvl w:ilvl="7">
      <w:start w:val="1"/>
      <w:numFmt w:val="lowerLetter"/>
      <w:lvlText w:val="%8."/>
      <w:lvlJc w:val="left"/>
      <w:pPr>
        <w:tabs>
          <w:tab w:val="num" w:pos="3400"/>
        </w:tabs>
        <w:ind w:left="3400" w:hanging="425"/>
      </w:pPr>
      <w:rPr>
        <w:rFonts w:hint="default"/>
      </w:rPr>
    </w:lvl>
    <w:lvl w:ilvl="8">
      <w:start w:val="1"/>
      <w:numFmt w:val="lowerRoman"/>
      <w:lvlText w:val="%9."/>
      <w:lvlJc w:val="right"/>
      <w:pPr>
        <w:tabs>
          <w:tab w:val="num" w:pos="3825"/>
        </w:tabs>
        <w:ind w:left="3825" w:hanging="425"/>
      </w:pPr>
      <w:rPr>
        <w:rFonts w:hint="default"/>
      </w:rPr>
    </w:lvl>
  </w:abstractNum>
  <w:abstractNum w:abstractNumId="27">
    <w:nsid w:val="68FF5876"/>
    <w:multiLevelType w:val="hybridMultilevel"/>
    <w:tmpl w:val="59FA43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nsid w:val="6EFE498B"/>
    <w:multiLevelType w:val="multilevel"/>
    <w:tmpl w:val="D88893D6"/>
    <w:lvl w:ilvl="0">
      <w:start w:val="1"/>
      <w:numFmt w:val="bullet"/>
      <w:pStyle w:val="ListBullet"/>
      <w:lvlText w:val=""/>
      <w:lvlJc w:val="left"/>
      <w:pPr>
        <w:tabs>
          <w:tab w:val="num" w:pos="1145"/>
        </w:tabs>
        <w:ind w:left="1145" w:hanging="425"/>
      </w:pPr>
      <w:rPr>
        <w:rFonts w:ascii="Symbol" w:hAnsi="Symbol" w:hint="default"/>
        <w:color w:val="auto"/>
      </w:rPr>
    </w:lvl>
    <w:lvl w:ilvl="1">
      <w:start w:val="1"/>
      <w:numFmt w:val="bullet"/>
      <w:pStyle w:val="ListBullet2"/>
      <w:lvlText w:val="─"/>
      <w:lvlJc w:val="left"/>
      <w:pPr>
        <w:tabs>
          <w:tab w:val="num" w:pos="1571"/>
        </w:tabs>
        <w:ind w:left="1570" w:hanging="425"/>
      </w:pPr>
      <w:rPr>
        <w:rFonts w:ascii="Calibri" w:hAnsi="Calibri" w:hint="default"/>
        <w:color w:val="auto"/>
      </w:rPr>
    </w:lvl>
    <w:lvl w:ilvl="2">
      <w:start w:val="1"/>
      <w:numFmt w:val="bullet"/>
      <w:pStyle w:val="ListBullet3"/>
      <w:lvlText w:val=""/>
      <w:lvlJc w:val="left"/>
      <w:pPr>
        <w:tabs>
          <w:tab w:val="num" w:pos="1996"/>
        </w:tabs>
        <w:ind w:left="1995" w:hanging="425"/>
      </w:pPr>
      <w:rPr>
        <w:rFonts w:ascii="Wingdings" w:hAnsi="Wingdings" w:hint="default"/>
        <w:color w:val="auto"/>
      </w:rPr>
    </w:lvl>
    <w:lvl w:ilvl="3">
      <w:start w:val="1"/>
      <w:numFmt w:val="bullet"/>
      <w:lvlText w:val=""/>
      <w:lvlJc w:val="left"/>
      <w:pPr>
        <w:ind w:left="2420" w:hanging="425"/>
      </w:pPr>
      <w:rPr>
        <w:rFonts w:ascii="Symbol" w:hAnsi="Symbol" w:hint="default"/>
      </w:rPr>
    </w:lvl>
    <w:lvl w:ilvl="4">
      <w:start w:val="1"/>
      <w:numFmt w:val="bullet"/>
      <w:lvlText w:val="─"/>
      <w:lvlJc w:val="left"/>
      <w:pPr>
        <w:ind w:left="2845" w:hanging="425"/>
      </w:pPr>
      <w:rPr>
        <w:rFonts w:ascii="Calibri" w:hAnsi="Calibri" w:hint="default"/>
        <w:color w:val="auto"/>
      </w:rPr>
    </w:lvl>
    <w:lvl w:ilvl="5">
      <w:start w:val="1"/>
      <w:numFmt w:val="bullet"/>
      <w:lvlText w:val=""/>
      <w:lvlJc w:val="left"/>
      <w:pPr>
        <w:tabs>
          <w:tab w:val="num" w:pos="3066"/>
        </w:tabs>
        <w:ind w:left="3270" w:hanging="425"/>
      </w:pPr>
      <w:rPr>
        <w:rFonts w:ascii="Wingdings" w:hAnsi="Wingdings" w:hint="default"/>
      </w:rPr>
    </w:lvl>
    <w:lvl w:ilvl="6">
      <w:start w:val="1"/>
      <w:numFmt w:val="bullet"/>
      <w:lvlText w:val=""/>
      <w:lvlJc w:val="left"/>
      <w:pPr>
        <w:tabs>
          <w:tab w:val="num" w:pos="3350"/>
        </w:tabs>
        <w:ind w:left="3695" w:hanging="425"/>
      </w:pPr>
      <w:rPr>
        <w:rFonts w:ascii="Symbol" w:hAnsi="Symbol" w:hint="default"/>
      </w:rPr>
    </w:lvl>
    <w:lvl w:ilvl="7">
      <w:start w:val="1"/>
      <w:numFmt w:val="bullet"/>
      <w:lvlText w:val="─"/>
      <w:lvlJc w:val="left"/>
      <w:pPr>
        <w:tabs>
          <w:tab w:val="num" w:pos="3634"/>
        </w:tabs>
        <w:ind w:left="4120" w:hanging="425"/>
      </w:pPr>
      <w:rPr>
        <w:rFonts w:ascii="Calibri" w:hAnsi="Calibri" w:hint="default"/>
        <w:color w:val="auto"/>
      </w:rPr>
    </w:lvl>
    <w:lvl w:ilvl="8">
      <w:start w:val="1"/>
      <w:numFmt w:val="bullet"/>
      <w:lvlText w:val=""/>
      <w:lvlJc w:val="left"/>
      <w:pPr>
        <w:tabs>
          <w:tab w:val="num" w:pos="3918"/>
        </w:tabs>
        <w:ind w:left="4545" w:hanging="425"/>
      </w:pPr>
      <w:rPr>
        <w:rFonts w:ascii="Wingdings" w:hAnsi="Wingdings" w:hint="default"/>
      </w:rPr>
    </w:lvl>
  </w:abstractNum>
  <w:num w:numId="1">
    <w:abstractNumId w:val="19"/>
  </w:num>
  <w:num w:numId="2">
    <w:abstractNumId w:val="24"/>
  </w:num>
  <w:num w:numId="3">
    <w:abstractNumId w:val="5"/>
  </w:num>
  <w:num w:numId="4">
    <w:abstractNumId w:val="4"/>
  </w:num>
  <w:num w:numId="5">
    <w:abstractNumId w:val="1"/>
  </w:num>
  <w:num w:numId="6">
    <w:abstractNumId w:val="0"/>
  </w:num>
  <w:num w:numId="7">
    <w:abstractNumId w:val="9"/>
  </w:num>
  <w:num w:numId="8">
    <w:abstractNumId w:val="13"/>
  </w:num>
  <w:num w:numId="9">
    <w:abstractNumId w:val="25"/>
  </w:num>
  <w:num w:numId="10">
    <w:abstractNumId w:val="10"/>
  </w:num>
  <w:num w:numId="11">
    <w:abstractNumId w:val="14"/>
  </w:num>
  <w:num w:numId="12">
    <w:abstractNumId w:val="21"/>
  </w:num>
  <w:num w:numId="13">
    <w:abstractNumId w:val="12"/>
  </w:num>
  <w:num w:numId="14">
    <w:abstractNumId w:val="28"/>
  </w:num>
  <w:num w:numId="15">
    <w:abstractNumId w:val="26"/>
  </w:num>
  <w:num w:numId="16">
    <w:abstractNumId w:val="15"/>
  </w:num>
  <w:num w:numId="17">
    <w:abstractNumId w:val="17"/>
  </w:num>
  <w:num w:numId="18">
    <w:abstractNumId w:val="17"/>
  </w:num>
  <w:num w:numId="19">
    <w:abstractNumId w:val="23"/>
  </w:num>
  <w:num w:numId="20">
    <w:abstractNumId w:val="8"/>
  </w:num>
  <w:num w:numId="21">
    <w:abstractNumId w:val="22"/>
  </w:num>
  <w:num w:numId="22">
    <w:abstractNumId w:val="27"/>
  </w:num>
  <w:num w:numId="23">
    <w:abstractNumId w:val="20"/>
  </w:num>
  <w:num w:numId="24">
    <w:abstractNumId w:val="8"/>
  </w:num>
  <w:num w:numId="25">
    <w:abstractNumId w:val="6"/>
  </w:num>
  <w:num w:numId="26">
    <w:abstractNumId w:val="8"/>
  </w:num>
  <w:num w:numId="27">
    <w:abstractNumId w:val="8"/>
  </w:num>
  <w:num w:numId="28">
    <w:abstractNumId w:val="8"/>
  </w:num>
  <w:num w:numId="29">
    <w:abstractNumId w:val="8"/>
  </w:num>
  <w:num w:numId="30">
    <w:abstractNumId w:val="8"/>
  </w:num>
  <w:num w:numId="31">
    <w:abstractNumId w:val="8"/>
  </w:num>
  <w:num w:numId="32">
    <w:abstractNumId w:val="8"/>
  </w:num>
  <w:num w:numId="33">
    <w:abstractNumId w:val="7"/>
  </w:num>
  <w:num w:numId="34">
    <w:abstractNumId w:val="26"/>
  </w:num>
  <w:num w:numId="35">
    <w:abstractNumId w:val="26"/>
  </w:num>
  <w:num w:numId="36">
    <w:abstractNumId w:val="26"/>
  </w:num>
  <w:num w:numId="37">
    <w:abstractNumId w:val="26"/>
  </w:num>
  <w:num w:numId="38">
    <w:abstractNumId w:val="26"/>
  </w:num>
  <w:num w:numId="39">
    <w:abstractNumId w:val="26"/>
  </w:num>
  <w:num w:numId="40">
    <w:abstractNumId w:val="26"/>
  </w:num>
  <w:num w:numId="41">
    <w:abstractNumId w:val="26"/>
  </w:num>
  <w:num w:numId="42">
    <w:abstractNumId w:val="26"/>
  </w:num>
  <w:num w:numId="43">
    <w:abstractNumId w:val="8"/>
  </w:num>
  <w:num w:numId="44">
    <w:abstractNumId w:val="11"/>
  </w:num>
  <w:num w:numId="45">
    <w:abstractNumId w:val="18"/>
  </w:num>
  <w:num w:numId="46">
    <w:abstractNumId w:val="22"/>
  </w:num>
  <w:num w:numId="47">
    <w:abstractNumId w:val="3"/>
  </w:num>
  <w:num w:numId="48">
    <w:abstractNumId w:val="2"/>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attachedTemplate r:id="rId1"/>
  <w:stylePaneFormatFilter w:val="1004"/>
  <w:defaultTabStop w:val="720"/>
  <w:drawingGridHorizontalSpacing w:val="6"/>
  <w:drawingGridVerticalSpacing w:val="6"/>
  <w:displayHorizontalDrawingGridEvery w:val="0"/>
  <w:displayVerticalDrawingGridEvery w:val="0"/>
  <w:doNotUseMarginsForDrawingGridOrigin/>
  <w:drawingGridHorizontalOrigin w:val="0"/>
  <w:drawingGridVerticalOrigin w:val="0"/>
  <w:characterSpacingControl w:val="doNotCompress"/>
  <w:hdrShapeDefaults>
    <o:shapedefaults v:ext="edit" spidmax="9218"/>
  </w:hdrShapeDefaults>
  <w:footnotePr>
    <w:footnote w:id="-1"/>
    <w:footnote w:id="0"/>
  </w:footnotePr>
  <w:endnotePr>
    <w:endnote w:id="-1"/>
    <w:endnote w:id="0"/>
  </w:endnotePr>
  <w:compat/>
  <w:docVars>
    <w:docVar w:name="ACTIVATED" w:val="1"/>
    <w:docVar w:name="CaptionHeadingNumber" w:val="0"/>
    <w:docVar w:name="cbTextLanguage_ListCount" w:val="0"/>
    <w:docVar w:name="cbTextLanguage_ListIndex" w:val="-1"/>
    <w:docVar w:name="CheckBox2" w:val="0"/>
    <w:docVar w:name="chkChangeCoverImage" w:val="0"/>
    <w:docVar w:name="chkDraft" w:val="-1"/>
    <w:docVar w:name="chkFileName" w:val="0"/>
    <w:docVar w:name="chkFileNamePath" w:val="0"/>
    <w:docVar w:name="chkIncludeClientInHedaer" w:val="0"/>
    <w:docVar w:name="chkIncludeClientonCover" w:val="0"/>
    <w:docVar w:name="chkOfficeAddressBackcover" w:val="0"/>
    <w:docVar w:name="chkPrintedOnRecycledPaper" w:val="0"/>
    <w:docVar w:name="chkSaveFooterDetails" w:val="0"/>
    <w:docVar w:name="chkSaveOfficeAddress" w:val="0"/>
    <w:docVar w:name="chkScholars" w:val="0"/>
    <w:docVar w:name="chkUKILongformLimitations" w:val="0"/>
    <w:docVar w:name="chkWhiteBorder" w:val="0"/>
    <w:docVar w:name="lbANZDisclaimers_ListCount" w:val="0"/>
    <w:docVar w:name="lbANZDisclaimers_ListIndex" w:val="-1"/>
    <w:docVar w:name="lbANZLimitations_ListCount" w:val="0"/>
    <w:docVar w:name="lbANZLimitations_ListIndex" w:val="-1"/>
    <w:docVar w:name="lbAuthor_ListCount" w:val="0"/>
    <w:docVar w:name="lbAuthor_ListIndex" w:val="-1"/>
    <w:docVar w:name="lbImages_ListCount" w:val="6"/>
    <w:docVar w:name="lbImages_ListIndex" w:val="0"/>
    <w:docVar w:name="lbProtectiveMarkings_0" w:val="None"/>
    <w:docVar w:name="lbProtectiveMarkings_0_0" w:val="None"/>
    <w:docVar w:name="lbProtectiveMarkings_1" w:val="PUBLIC"/>
    <w:docVar w:name="lbProtectiveMarkings_1_0" w:val="PUBLIC"/>
    <w:docVar w:name="lbProtectiveMarkings_2" w:val="OFFICIAL"/>
    <w:docVar w:name="lbProtectiveMarkings_2_0" w:val="OFFICIAL"/>
    <w:docVar w:name="lbProtectiveMarkings_3" w:val="COMPANY CONFIDENTIAL"/>
    <w:docVar w:name="lbProtectiveMarkings_3_0" w:val="COMPANY CONFIDENTIAL"/>
    <w:docVar w:name="lbProtectiveMarkings_4" w:val="COMMERCIAL IN CONFIDENCE"/>
    <w:docVar w:name="lbProtectiveMarkings_4_0" w:val="COMMERCIAL IN CONFIDENCE"/>
    <w:docVar w:name="lbProtectiveMarkings_5" w:val="DRAFT"/>
    <w:docVar w:name="lbProtectiveMarkings_5_0" w:val="DRAFT"/>
    <w:docVar w:name="lbProtectiveMarkings_6" w:val="Free-type ...  (use a comma to denote a new line)"/>
    <w:docVar w:name="lbProtectiveMarkings_6_0" w:val="Free-type ...  (use a comma to denote a new line)"/>
    <w:docVar w:name="lbProtectiveMarkings_ListCount" w:val="7"/>
    <w:docVar w:name="lbProtectiveMarkings_ListIndex" w:val="-1"/>
    <w:docVar w:name="opt1column" w:val="-1"/>
    <w:docVar w:name="opt2column" w:val="0"/>
    <w:docVar w:name="opt3column" w:val="0"/>
    <w:docVar w:name="optA3Landscape" w:val="0"/>
    <w:docVar w:name="optA4" w:val="-1"/>
    <w:docVar w:name="optA4Landscape" w:val="0"/>
    <w:docVar w:name="optA4Portrait" w:val="-1"/>
    <w:docVar w:name="optBW" w:val="0"/>
    <w:docVar w:name="optChangeFontAECOMSans" w:val="0"/>
    <w:docVar w:name="optChangeFontArial" w:val="-1"/>
    <w:docVar w:name="optCoversheet" w:val="0"/>
    <w:docVar w:name="optDoubleSided" w:val="0"/>
    <w:docVar w:name="optFont10" w:val="0"/>
    <w:docVar w:name="optFont11" w:val="0"/>
    <w:docVar w:name="optFont12" w:val="0"/>
    <w:docVar w:name="optFont9" w:val="-1"/>
    <w:docVar w:name="optGraphicFull" w:val="0"/>
    <w:docVar w:name="optHeading1Font18" w:val="0"/>
    <w:docVar w:name="optHeading1Font21" w:val="0"/>
    <w:docVar w:name="optHeading1Font24" w:val="-1"/>
    <w:docVar w:name="optLetter" w:val="0"/>
    <w:docVar w:name="optLogo" w:val="-1"/>
    <w:docVar w:name="optNoLogo" w:val="0"/>
    <w:docVar w:name="optNumberedHeadings" w:val="-1"/>
    <w:docVar w:name="optP0" w:val="0"/>
    <w:docVar w:name="optP1" w:val="-1"/>
    <w:docVar w:name="optP2" w:val="0"/>
    <w:docVar w:name="optP3" w:val="0"/>
    <w:docVar w:name="optP4" w:val="0"/>
    <w:docVar w:name="optP5" w:val="0"/>
    <w:docVar w:name="optP6" w:val="0"/>
    <w:docVar w:name="optPhotoFull" w:val="0"/>
    <w:docVar w:name="optPhotoGrahicHalf" w:val="-1"/>
    <w:docVar w:name="optPlainBlue" w:val="0"/>
    <w:docVar w:name="optS0" w:val="0"/>
    <w:docVar w:name="optS1" w:val="0"/>
    <w:docVar w:name="optS2" w:val="-1"/>
    <w:docVar w:name="optS3" w:val="0"/>
    <w:docVar w:name="optS4" w:val="0"/>
    <w:docVar w:name="optS5" w:val="0"/>
    <w:docVar w:name="optS6" w:val="0"/>
    <w:docVar w:name="optSingleSided" w:val="-1"/>
    <w:docVar w:name="optTechnicalReport" w:val="-1"/>
    <w:docVar w:name="optTenderProposal" w:val="0"/>
    <w:docVar w:name="optUnNumberedHeadings" w:val="0"/>
    <w:docVar w:name="optUSLetterLandscape" w:val="0"/>
    <w:docVar w:name="optUSLetterPortrait" w:val="0"/>
    <w:docVar w:name="RERUN" w:val="1"/>
    <w:docVar w:name="SelectedCountry" w:val="1"/>
    <w:docVar w:name="SelectedEntity" w:val="0"/>
    <w:docVar w:name="SelectedGeo" w:val="2"/>
    <w:docVar w:name="SelectedLanguage" w:val="0"/>
    <w:docVar w:name="SelectedOffice" w:val="33"/>
    <w:docVar w:name="SelectedPageLayout" w:val="3"/>
    <w:docVar w:name="SelectedRegion" w:val="4"/>
    <w:docVar w:name="tbDate" w:val="June 2017"/>
    <w:docVar w:name="tbDocumentTitle" w:val="HNA Template "/>
    <w:docVar w:name="tbFooterDetails" w:val="AECOM Limited registered in England &amp; Wales, company number 880328._x000D__x000A_AECOM House, 63-77 Victoria Street, St Albans, Hertfordshire, AL1 3ER"/>
    <w:docVar w:name="tbImage" w:val="Abstract Cable.jpg"/>
    <w:docVar w:name="tbOfficeAddress" w:val="AECOM Limited_x000D__x000A_Aldgate Tower_x000D__x000A_2 Leman Street_x000D__x000A_London_x000D__x000A_E1 8FA_x000D__x000A_aecom.com"/>
    <w:docVar w:name="TranslateChart" w:val="Chart"/>
    <w:docVar w:name="TranslateFigure" w:val="Figure"/>
    <w:docVar w:name="TranslateTable" w:val="Table"/>
  </w:docVars>
  <w:rsids>
    <w:rsidRoot w:val="005A1F44"/>
    <w:rsid w:val="000010BB"/>
    <w:rsid w:val="00004730"/>
    <w:rsid w:val="0000567F"/>
    <w:rsid w:val="00005796"/>
    <w:rsid w:val="00007D12"/>
    <w:rsid w:val="00007D78"/>
    <w:rsid w:val="00011B0A"/>
    <w:rsid w:val="00013912"/>
    <w:rsid w:val="000144E9"/>
    <w:rsid w:val="000163EB"/>
    <w:rsid w:val="0001783C"/>
    <w:rsid w:val="000221ED"/>
    <w:rsid w:val="00023F39"/>
    <w:rsid w:val="00024A9C"/>
    <w:rsid w:val="00026EC3"/>
    <w:rsid w:val="00027303"/>
    <w:rsid w:val="000278B3"/>
    <w:rsid w:val="0003139A"/>
    <w:rsid w:val="0003173A"/>
    <w:rsid w:val="00032A65"/>
    <w:rsid w:val="0003500D"/>
    <w:rsid w:val="0003617E"/>
    <w:rsid w:val="00036291"/>
    <w:rsid w:val="000364E3"/>
    <w:rsid w:val="0004124F"/>
    <w:rsid w:val="0004195E"/>
    <w:rsid w:val="000464DF"/>
    <w:rsid w:val="0004726B"/>
    <w:rsid w:val="00047FDB"/>
    <w:rsid w:val="00050057"/>
    <w:rsid w:val="0005363D"/>
    <w:rsid w:val="000537D2"/>
    <w:rsid w:val="00053F18"/>
    <w:rsid w:val="0005776B"/>
    <w:rsid w:val="0005782B"/>
    <w:rsid w:val="000637CD"/>
    <w:rsid w:val="000652F7"/>
    <w:rsid w:val="000663FA"/>
    <w:rsid w:val="00066A8B"/>
    <w:rsid w:val="00067457"/>
    <w:rsid w:val="000800C1"/>
    <w:rsid w:val="00080425"/>
    <w:rsid w:val="00082023"/>
    <w:rsid w:val="0008237C"/>
    <w:rsid w:val="00082904"/>
    <w:rsid w:val="00083354"/>
    <w:rsid w:val="000873D7"/>
    <w:rsid w:val="0009153B"/>
    <w:rsid w:val="000923AB"/>
    <w:rsid w:val="00092F8A"/>
    <w:rsid w:val="0009611E"/>
    <w:rsid w:val="00096EB0"/>
    <w:rsid w:val="000A14DC"/>
    <w:rsid w:val="000A2D0C"/>
    <w:rsid w:val="000A3876"/>
    <w:rsid w:val="000A5C4B"/>
    <w:rsid w:val="000A5E31"/>
    <w:rsid w:val="000A6A13"/>
    <w:rsid w:val="000A7C82"/>
    <w:rsid w:val="000B28E6"/>
    <w:rsid w:val="000B67C7"/>
    <w:rsid w:val="000B694A"/>
    <w:rsid w:val="000B73C5"/>
    <w:rsid w:val="000B7472"/>
    <w:rsid w:val="000B7AA3"/>
    <w:rsid w:val="000C03D4"/>
    <w:rsid w:val="000C0D5A"/>
    <w:rsid w:val="000C334B"/>
    <w:rsid w:val="000C3C1D"/>
    <w:rsid w:val="000D13AF"/>
    <w:rsid w:val="000D7F81"/>
    <w:rsid w:val="000E213A"/>
    <w:rsid w:val="000E3927"/>
    <w:rsid w:val="000E4587"/>
    <w:rsid w:val="000E7360"/>
    <w:rsid w:val="000E73C4"/>
    <w:rsid w:val="000F0027"/>
    <w:rsid w:val="000F22FF"/>
    <w:rsid w:val="000F28C5"/>
    <w:rsid w:val="000F2C08"/>
    <w:rsid w:val="000F3D7C"/>
    <w:rsid w:val="000F47DA"/>
    <w:rsid w:val="000F4C55"/>
    <w:rsid w:val="000F5328"/>
    <w:rsid w:val="000F66C9"/>
    <w:rsid w:val="000F7ACB"/>
    <w:rsid w:val="00101302"/>
    <w:rsid w:val="00102A70"/>
    <w:rsid w:val="001033BC"/>
    <w:rsid w:val="00103597"/>
    <w:rsid w:val="00104883"/>
    <w:rsid w:val="001065CD"/>
    <w:rsid w:val="001078F9"/>
    <w:rsid w:val="00110478"/>
    <w:rsid w:val="00112827"/>
    <w:rsid w:val="00113736"/>
    <w:rsid w:val="00113896"/>
    <w:rsid w:val="0011536F"/>
    <w:rsid w:val="00115CA4"/>
    <w:rsid w:val="00116072"/>
    <w:rsid w:val="00116816"/>
    <w:rsid w:val="001169AC"/>
    <w:rsid w:val="00116B6B"/>
    <w:rsid w:val="0011737A"/>
    <w:rsid w:val="00117893"/>
    <w:rsid w:val="0012093B"/>
    <w:rsid w:val="00123E5C"/>
    <w:rsid w:val="001244DC"/>
    <w:rsid w:val="00125678"/>
    <w:rsid w:val="0012697D"/>
    <w:rsid w:val="00127AF4"/>
    <w:rsid w:val="001315BF"/>
    <w:rsid w:val="00132452"/>
    <w:rsid w:val="00132860"/>
    <w:rsid w:val="00133853"/>
    <w:rsid w:val="001338CF"/>
    <w:rsid w:val="001343B0"/>
    <w:rsid w:val="00134992"/>
    <w:rsid w:val="00135D79"/>
    <w:rsid w:val="00136720"/>
    <w:rsid w:val="00136AA6"/>
    <w:rsid w:val="00136C29"/>
    <w:rsid w:val="00137944"/>
    <w:rsid w:val="0014041F"/>
    <w:rsid w:val="001408A2"/>
    <w:rsid w:val="001430F2"/>
    <w:rsid w:val="00143D54"/>
    <w:rsid w:val="00144B71"/>
    <w:rsid w:val="001453AD"/>
    <w:rsid w:val="00145502"/>
    <w:rsid w:val="00145561"/>
    <w:rsid w:val="0014571E"/>
    <w:rsid w:val="00147691"/>
    <w:rsid w:val="00150531"/>
    <w:rsid w:val="001547D3"/>
    <w:rsid w:val="001554A9"/>
    <w:rsid w:val="00157E3E"/>
    <w:rsid w:val="00162C47"/>
    <w:rsid w:val="00163810"/>
    <w:rsid w:val="00164690"/>
    <w:rsid w:val="00164CB2"/>
    <w:rsid w:val="00164DB7"/>
    <w:rsid w:val="00166D71"/>
    <w:rsid w:val="00166F5A"/>
    <w:rsid w:val="0017116A"/>
    <w:rsid w:val="001730F3"/>
    <w:rsid w:val="00173C13"/>
    <w:rsid w:val="001749C0"/>
    <w:rsid w:val="001750DB"/>
    <w:rsid w:val="00176845"/>
    <w:rsid w:val="00177077"/>
    <w:rsid w:val="00177C13"/>
    <w:rsid w:val="00177DEA"/>
    <w:rsid w:val="0018100D"/>
    <w:rsid w:val="0018223E"/>
    <w:rsid w:val="0018305D"/>
    <w:rsid w:val="00184240"/>
    <w:rsid w:val="0018531C"/>
    <w:rsid w:val="00186090"/>
    <w:rsid w:val="00186702"/>
    <w:rsid w:val="00186C1F"/>
    <w:rsid w:val="0019068B"/>
    <w:rsid w:val="00190CDA"/>
    <w:rsid w:val="001920F8"/>
    <w:rsid w:val="00193189"/>
    <w:rsid w:val="0019330C"/>
    <w:rsid w:val="001937F2"/>
    <w:rsid w:val="00193855"/>
    <w:rsid w:val="00196E20"/>
    <w:rsid w:val="001A112F"/>
    <w:rsid w:val="001A11B6"/>
    <w:rsid w:val="001A1F61"/>
    <w:rsid w:val="001A52C9"/>
    <w:rsid w:val="001A52DD"/>
    <w:rsid w:val="001A69AC"/>
    <w:rsid w:val="001B0513"/>
    <w:rsid w:val="001B143D"/>
    <w:rsid w:val="001B1A5F"/>
    <w:rsid w:val="001B1AE9"/>
    <w:rsid w:val="001B3374"/>
    <w:rsid w:val="001B782D"/>
    <w:rsid w:val="001B7F5F"/>
    <w:rsid w:val="001C07AF"/>
    <w:rsid w:val="001C140D"/>
    <w:rsid w:val="001C282B"/>
    <w:rsid w:val="001C2925"/>
    <w:rsid w:val="001C2BC0"/>
    <w:rsid w:val="001C3018"/>
    <w:rsid w:val="001C3644"/>
    <w:rsid w:val="001C5F36"/>
    <w:rsid w:val="001C60EF"/>
    <w:rsid w:val="001C727A"/>
    <w:rsid w:val="001C7D04"/>
    <w:rsid w:val="001D0BB4"/>
    <w:rsid w:val="001D1299"/>
    <w:rsid w:val="001D150B"/>
    <w:rsid w:val="001D33BC"/>
    <w:rsid w:val="001D499A"/>
    <w:rsid w:val="001E0942"/>
    <w:rsid w:val="001E1C2C"/>
    <w:rsid w:val="001E1DB1"/>
    <w:rsid w:val="001E1DC1"/>
    <w:rsid w:val="001E2B97"/>
    <w:rsid w:val="001E3D91"/>
    <w:rsid w:val="001E60BE"/>
    <w:rsid w:val="001E7EC9"/>
    <w:rsid w:val="001F14A3"/>
    <w:rsid w:val="001F30FD"/>
    <w:rsid w:val="001F34A3"/>
    <w:rsid w:val="001F4214"/>
    <w:rsid w:val="001F5E46"/>
    <w:rsid w:val="001F7374"/>
    <w:rsid w:val="001F73E7"/>
    <w:rsid w:val="002024D6"/>
    <w:rsid w:val="00203182"/>
    <w:rsid w:val="0020318D"/>
    <w:rsid w:val="00203A4A"/>
    <w:rsid w:val="00204146"/>
    <w:rsid w:val="00204C12"/>
    <w:rsid w:val="00205F73"/>
    <w:rsid w:val="0020761E"/>
    <w:rsid w:val="002122AA"/>
    <w:rsid w:val="00213392"/>
    <w:rsid w:val="002134B0"/>
    <w:rsid w:val="00214171"/>
    <w:rsid w:val="0021429D"/>
    <w:rsid w:val="002147C0"/>
    <w:rsid w:val="0021554C"/>
    <w:rsid w:val="002155BC"/>
    <w:rsid w:val="0021591F"/>
    <w:rsid w:val="00215A8B"/>
    <w:rsid w:val="00215D9F"/>
    <w:rsid w:val="00215FCC"/>
    <w:rsid w:val="00216F12"/>
    <w:rsid w:val="002174DF"/>
    <w:rsid w:val="00217946"/>
    <w:rsid w:val="0022001F"/>
    <w:rsid w:val="00222E12"/>
    <w:rsid w:val="002246BD"/>
    <w:rsid w:val="0022472C"/>
    <w:rsid w:val="00224E3C"/>
    <w:rsid w:val="002307AE"/>
    <w:rsid w:val="00230A71"/>
    <w:rsid w:val="002328EB"/>
    <w:rsid w:val="00233004"/>
    <w:rsid w:val="002363E8"/>
    <w:rsid w:val="002402D4"/>
    <w:rsid w:val="002410C3"/>
    <w:rsid w:val="00241339"/>
    <w:rsid w:val="00241364"/>
    <w:rsid w:val="0024247B"/>
    <w:rsid w:val="00245043"/>
    <w:rsid w:val="00245426"/>
    <w:rsid w:val="002456FC"/>
    <w:rsid w:val="00250ADC"/>
    <w:rsid w:val="00252C7F"/>
    <w:rsid w:val="00253171"/>
    <w:rsid w:val="00254D16"/>
    <w:rsid w:val="00254EC8"/>
    <w:rsid w:val="00255355"/>
    <w:rsid w:val="00255CC9"/>
    <w:rsid w:val="00255D2D"/>
    <w:rsid w:val="00255DC7"/>
    <w:rsid w:val="002563D0"/>
    <w:rsid w:val="00257EEB"/>
    <w:rsid w:val="0026039C"/>
    <w:rsid w:val="002603F2"/>
    <w:rsid w:val="002606B5"/>
    <w:rsid w:val="002609AD"/>
    <w:rsid w:val="00260D50"/>
    <w:rsid w:val="0026195E"/>
    <w:rsid w:val="002623B2"/>
    <w:rsid w:val="00262A6A"/>
    <w:rsid w:val="00263729"/>
    <w:rsid w:val="00263F55"/>
    <w:rsid w:val="00263FED"/>
    <w:rsid w:val="0026561D"/>
    <w:rsid w:val="002672FD"/>
    <w:rsid w:val="00270E14"/>
    <w:rsid w:val="002718A5"/>
    <w:rsid w:val="00272ED1"/>
    <w:rsid w:val="00273002"/>
    <w:rsid w:val="002740A7"/>
    <w:rsid w:val="002741BD"/>
    <w:rsid w:val="002759C6"/>
    <w:rsid w:val="00275E52"/>
    <w:rsid w:val="002762F6"/>
    <w:rsid w:val="002770A0"/>
    <w:rsid w:val="00277FF1"/>
    <w:rsid w:val="0028000E"/>
    <w:rsid w:val="0028145A"/>
    <w:rsid w:val="002828D7"/>
    <w:rsid w:val="00283697"/>
    <w:rsid w:val="00284C82"/>
    <w:rsid w:val="002851E5"/>
    <w:rsid w:val="0029198A"/>
    <w:rsid w:val="00292E2D"/>
    <w:rsid w:val="00293C45"/>
    <w:rsid w:val="002A32C7"/>
    <w:rsid w:val="002A6123"/>
    <w:rsid w:val="002A62B8"/>
    <w:rsid w:val="002A6328"/>
    <w:rsid w:val="002A723C"/>
    <w:rsid w:val="002A7CB9"/>
    <w:rsid w:val="002B07C9"/>
    <w:rsid w:val="002B1CCC"/>
    <w:rsid w:val="002B1D7D"/>
    <w:rsid w:val="002B2827"/>
    <w:rsid w:val="002B4670"/>
    <w:rsid w:val="002B4677"/>
    <w:rsid w:val="002B4DAE"/>
    <w:rsid w:val="002B5A8F"/>
    <w:rsid w:val="002B6127"/>
    <w:rsid w:val="002C07F9"/>
    <w:rsid w:val="002C1EDB"/>
    <w:rsid w:val="002C2C4A"/>
    <w:rsid w:val="002C2D5C"/>
    <w:rsid w:val="002C40AE"/>
    <w:rsid w:val="002C4987"/>
    <w:rsid w:val="002C4B35"/>
    <w:rsid w:val="002C646C"/>
    <w:rsid w:val="002C6C6B"/>
    <w:rsid w:val="002C7295"/>
    <w:rsid w:val="002C77CB"/>
    <w:rsid w:val="002C78EC"/>
    <w:rsid w:val="002C7C3C"/>
    <w:rsid w:val="002C7E48"/>
    <w:rsid w:val="002D1696"/>
    <w:rsid w:val="002D1969"/>
    <w:rsid w:val="002D1AE8"/>
    <w:rsid w:val="002D1B33"/>
    <w:rsid w:val="002D1F63"/>
    <w:rsid w:val="002D336F"/>
    <w:rsid w:val="002D45C8"/>
    <w:rsid w:val="002D4F56"/>
    <w:rsid w:val="002D4FEB"/>
    <w:rsid w:val="002D51B3"/>
    <w:rsid w:val="002D5E41"/>
    <w:rsid w:val="002E40A5"/>
    <w:rsid w:val="002E4175"/>
    <w:rsid w:val="002E6EF9"/>
    <w:rsid w:val="002E6F99"/>
    <w:rsid w:val="002E71E0"/>
    <w:rsid w:val="002E72EA"/>
    <w:rsid w:val="002F388A"/>
    <w:rsid w:val="002F3B02"/>
    <w:rsid w:val="002F414D"/>
    <w:rsid w:val="00300042"/>
    <w:rsid w:val="00300C4D"/>
    <w:rsid w:val="003014DC"/>
    <w:rsid w:val="00301623"/>
    <w:rsid w:val="003021D8"/>
    <w:rsid w:val="00302A12"/>
    <w:rsid w:val="0030488D"/>
    <w:rsid w:val="00306118"/>
    <w:rsid w:val="00307C69"/>
    <w:rsid w:val="00311C82"/>
    <w:rsid w:val="003128DC"/>
    <w:rsid w:val="00312994"/>
    <w:rsid w:val="003130BF"/>
    <w:rsid w:val="003135BC"/>
    <w:rsid w:val="00313887"/>
    <w:rsid w:val="003155DD"/>
    <w:rsid w:val="00315C27"/>
    <w:rsid w:val="00316CE6"/>
    <w:rsid w:val="00320747"/>
    <w:rsid w:val="00321DD1"/>
    <w:rsid w:val="003227EC"/>
    <w:rsid w:val="00323122"/>
    <w:rsid w:val="00323654"/>
    <w:rsid w:val="00324938"/>
    <w:rsid w:val="00324B62"/>
    <w:rsid w:val="00325E2C"/>
    <w:rsid w:val="00326FD9"/>
    <w:rsid w:val="00327242"/>
    <w:rsid w:val="00327DD0"/>
    <w:rsid w:val="003307BD"/>
    <w:rsid w:val="00330926"/>
    <w:rsid w:val="00331304"/>
    <w:rsid w:val="003379D3"/>
    <w:rsid w:val="003404B3"/>
    <w:rsid w:val="00342A65"/>
    <w:rsid w:val="00342FC4"/>
    <w:rsid w:val="00343248"/>
    <w:rsid w:val="00344A00"/>
    <w:rsid w:val="003450EB"/>
    <w:rsid w:val="0034566E"/>
    <w:rsid w:val="00347538"/>
    <w:rsid w:val="003519DE"/>
    <w:rsid w:val="00354241"/>
    <w:rsid w:val="00356488"/>
    <w:rsid w:val="003572C3"/>
    <w:rsid w:val="003618AD"/>
    <w:rsid w:val="00362D4F"/>
    <w:rsid w:val="0036321E"/>
    <w:rsid w:val="003636AD"/>
    <w:rsid w:val="00363A49"/>
    <w:rsid w:val="00364822"/>
    <w:rsid w:val="00364FD7"/>
    <w:rsid w:val="00365132"/>
    <w:rsid w:val="0036645D"/>
    <w:rsid w:val="003723EF"/>
    <w:rsid w:val="00372641"/>
    <w:rsid w:val="003727A8"/>
    <w:rsid w:val="003732CF"/>
    <w:rsid w:val="00373E8E"/>
    <w:rsid w:val="003742A0"/>
    <w:rsid w:val="003743EB"/>
    <w:rsid w:val="00374C95"/>
    <w:rsid w:val="003760C4"/>
    <w:rsid w:val="0037743B"/>
    <w:rsid w:val="0037784E"/>
    <w:rsid w:val="00381436"/>
    <w:rsid w:val="00382551"/>
    <w:rsid w:val="00383735"/>
    <w:rsid w:val="00385CC2"/>
    <w:rsid w:val="003874EA"/>
    <w:rsid w:val="00387B7C"/>
    <w:rsid w:val="00387DEF"/>
    <w:rsid w:val="00390B9B"/>
    <w:rsid w:val="003919AB"/>
    <w:rsid w:val="00391FDF"/>
    <w:rsid w:val="003934D8"/>
    <w:rsid w:val="0039435D"/>
    <w:rsid w:val="003964F2"/>
    <w:rsid w:val="00397421"/>
    <w:rsid w:val="003A286F"/>
    <w:rsid w:val="003A2EED"/>
    <w:rsid w:val="003A3279"/>
    <w:rsid w:val="003A38F5"/>
    <w:rsid w:val="003A7385"/>
    <w:rsid w:val="003A78C3"/>
    <w:rsid w:val="003A79BB"/>
    <w:rsid w:val="003B15DA"/>
    <w:rsid w:val="003B175A"/>
    <w:rsid w:val="003B18BF"/>
    <w:rsid w:val="003B219E"/>
    <w:rsid w:val="003B31A5"/>
    <w:rsid w:val="003B36BF"/>
    <w:rsid w:val="003B5127"/>
    <w:rsid w:val="003B6C9A"/>
    <w:rsid w:val="003C0774"/>
    <w:rsid w:val="003C10A6"/>
    <w:rsid w:val="003C11A1"/>
    <w:rsid w:val="003C2117"/>
    <w:rsid w:val="003C29AA"/>
    <w:rsid w:val="003C2C77"/>
    <w:rsid w:val="003C39C4"/>
    <w:rsid w:val="003C43E3"/>
    <w:rsid w:val="003C73C8"/>
    <w:rsid w:val="003C77CD"/>
    <w:rsid w:val="003D08F2"/>
    <w:rsid w:val="003D1681"/>
    <w:rsid w:val="003D2636"/>
    <w:rsid w:val="003D2760"/>
    <w:rsid w:val="003D2814"/>
    <w:rsid w:val="003D4AAC"/>
    <w:rsid w:val="003D6072"/>
    <w:rsid w:val="003E04ED"/>
    <w:rsid w:val="003E1070"/>
    <w:rsid w:val="003E19BC"/>
    <w:rsid w:val="003E3DFD"/>
    <w:rsid w:val="003E4FE3"/>
    <w:rsid w:val="003E6EE1"/>
    <w:rsid w:val="003F41C5"/>
    <w:rsid w:val="003F4631"/>
    <w:rsid w:val="003F4CB8"/>
    <w:rsid w:val="003F7459"/>
    <w:rsid w:val="003F7EA0"/>
    <w:rsid w:val="004006F8"/>
    <w:rsid w:val="00400934"/>
    <w:rsid w:val="00400AFF"/>
    <w:rsid w:val="00401071"/>
    <w:rsid w:val="00402F1D"/>
    <w:rsid w:val="00404758"/>
    <w:rsid w:val="00404DF7"/>
    <w:rsid w:val="0040621C"/>
    <w:rsid w:val="00406AE2"/>
    <w:rsid w:val="0040775E"/>
    <w:rsid w:val="00407772"/>
    <w:rsid w:val="00407DE6"/>
    <w:rsid w:val="004102A7"/>
    <w:rsid w:val="004102D4"/>
    <w:rsid w:val="004116B9"/>
    <w:rsid w:val="0041372D"/>
    <w:rsid w:val="00413BDE"/>
    <w:rsid w:val="00413F63"/>
    <w:rsid w:val="00415158"/>
    <w:rsid w:val="00415998"/>
    <w:rsid w:val="00416050"/>
    <w:rsid w:val="0041646A"/>
    <w:rsid w:val="00416DFC"/>
    <w:rsid w:val="00417649"/>
    <w:rsid w:val="0042027F"/>
    <w:rsid w:val="004217B6"/>
    <w:rsid w:val="0042304B"/>
    <w:rsid w:val="004231F6"/>
    <w:rsid w:val="00423C77"/>
    <w:rsid w:val="0042428A"/>
    <w:rsid w:val="00426E52"/>
    <w:rsid w:val="00427701"/>
    <w:rsid w:val="00430718"/>
    <w:rsid w:val="00430AD8"/>
    <w:rsid w:val="00431999"/>
    <w:rsid w:val="004332A1"/>
    <w:rsid w:val="00433CF8"/>
    <w:rsid w:val="00434080"/>
    <w:rsid w:val="004353E6"/>
    <w:rsid w:val="0043568A"/>
    <w:rsid w:val="00435CF7"/>
    <w:rsid w:val="0043702D"/>
    <w:rsid w:val="00437546"/>
    <w:rsid w:val="0044100E"/>
    <w:rsid w:val="00441992"/>
    <w:rsid w:val="004442D2"/>
    <w:rsid w:val="004444AD"/>
    <w:rsid w:val="004444B4"/>
    <w:rsid w:val="00444877"/>
    <w:rsid w:val="004460FF"/>
    <w:rsid w:val="00446CAF"/>
    <w:rsid w:val="00450792"/>
    <w:rsid w:val="0045162F"/>
    <w:rsid w:val="004524BA"/>
    <w:rsid w:val="00460D15"/>
    <w:rsid w:val="00460F70"/>
    <w:rsid w:val="00461235"/>
    <w:rsid w:val="00463320"/>
    <w:rsid w:val="00463403"/>
    <w:rsid w:val="004641BD"/>
    <w:rsid w:val="004650F4"/>
    <w:rsid w:val="004651D1"/>
    <w:rsid w:val="00466085"/>
    <w:rsid w:val="0046675F"/>
    <w:rsid w:val="00467014"/>
    <w:rsid w:val="0047061E"/>
    <w:rsid w:val="00470D37"/>
    <w:rsid w:val="00472275"/>
    <w:rsid w:val="00473BA7"/>
    <w:rsid w:val="0047442C"/>
    <w:rsid w:val="004747C5"/>
    <w:rsid w:val="00474F8A"/>
    <w:rsid w:val="00475C76"/>
    <w:rsid w:val="00476910"/>
    <w:rsid w:val="00476DB8"/>
    <w:rsid w:val="004775A3"/>
    <w:rsid w:val="0048053F"/>
    <w:rsid w:val="00480CE2"/>
    <w:rsid w:val="00480F13"/>
    <w:rsid w:val="00481241"/>
    <w:rsid w:val="00481A96"/>
    <w:rsid w:val="00481F72"/>
    <w:rsid w:val="00483053"/>
    <w:rsid w:val="00483067"/>
    <w:rsid w:val="0048407F"/>
    <w:rsid w:val="004864E1"/>
    <w:rsid w:val="00486D5A"/>
    <w:rsid w:val="0048755A"/>
    <w:rsid w:val="004901F0"/>
    <w:rsid w:val="00490643"/>
    <w:rsid w:val="004908C7"/>
    <w:rsid w:val="00491D33"/>
    <w:rsid w:val="00493CF1"/>
    <w:rsid w:val="00493F74"/>
    <w:rsid w:val="00495508"/>
    <w:rsid w:val="004A019D"/>
    <w:rsid w:val="004A24C8"/>
    <w:rsid w:val="004A4324"/>
    <w:rsid w:val="004A7221"/>
    <w:rsid w:val="004B00A6"/>
    <w:rsid w:val="004B0360"/>
    <w:rsid w:val="004B0B76"/>
    <w:rsid w:val="004B3906"/>
    <w:rsid w:val="004B39C9"/>
    <w:rsid w:val="004B7008"/>
    <w:rsid w:val="004B760D"/>
    <w:rsid w:val="004B77CD"/>
    <w:rsid w:val="004B77D6"/>
    <w:rsid w:val="004C0B28"/>
    <w:rsid w:val="004C255D"/>
    <w:rsid w:val="004C3FD2"/>
    <w:rsid w:val="004C4813"/>
    <w:rsid w:val="004C4865"/>
    <w:rsid w:val="004D0AF2"/>
    <w:rsid w:val="004D1538"/>
    <w:rsid w:val="004D1548"/>
    <w:rsid w:val="004D35D9"/>
    <w:rsid w:val="004D4675"/>
    <w:rsid w:val="004D4752"/>
    <w:rsid w:val="004D4A35"/>
    <w:rsid w:val="004D5792"/>
    <w:rsid w:val="004D65DF"/>
    <w:rsid w:val="004D711A"/>
    <w:rsid w:val="004D7826"/>
    <w:rsid w:val="004E1B08"/>
    <w:rsid w:val="004E2B70"/>
    <w:rsid w:val="004E43B0"/>
    <w:rsid w:val="004E4AA9"/>
    <w:rsid w:val="004E4E31"/>
    <w:rsid w:val="004E640E"/>
    <w:rsid w:val="004E746A"/>
    <w:rsid w:val="004F2A79"/>
    <w:rsid w:val="004F2ED4"/>
    <w:rsid w:val="004F6A79"/>
    <w:rsid w:val="004F6E2F"/>
    <w:rsid w:val="004F70CD"/>
    <w:rsid w:val="0050142E"/>
    <w:rsid w:val="005032EA"/>
    <w:rsid w:val="00503E92"/>
    <w:rsid w:val="005041F8"/>
    <w:rsid w:val="005056EB"/>
    <w:rsid w:val="0050790B"/>
    <w:rsid w:val="00507C4F"/>
    <w:rsid w:val="00511F94"/>
    <w:rsid w:val="00512A4E"/>
    <w:rsid w:val="00512B79"/>
    <w:rsid w:val="0051362C"/>
    <w:rsid w:val="005137B7"/>
    <w:rsid w:val="00516141"/>
    <w:rsid w:val="0051628F"/>
    <w:rsid w:val="00517ACA"/>
    <w:rsid w:val="00517F7D"/>
    <w:rsid w:val="005203DD"/>
    <w:rsid w:val="00521201"/>
    <w:rsid w:val="005222A4"/>
    <w:rsid w:val="00523956"/>
    <w:rsid w:val="00530CE5"/>
    <w:rsid w:val="00532F20"/>
    <w:rsid w:val="005354C0"/>
    <w:rsid w:val="00536CDB"/>
    <w:rsid w:val="00537728"/>
    <w:rsid w:val="005377BA"/>
    <w:rsid w:val="0053788E"/>
    <w:rsid w:val="00542152"/>
    <w:rsid w:val="00542F08"/>
    <w:rsid w:val="0054315A"/>
    <w:rsid w:val="0054374D"/>
    <w:rsid w:val="005453AF"/>
    <w:rsid w:val="00547B32"/>
    <w:rsid w:val="00547C9E"/>
    <w:rsid w:val="0055004B"/>
    <w:rsid w:val="00550A23"/>
    <w:rsid w:val="00550FEA"/>
    <w:rsid w:val="005522BE"/>
    <w:rsid w:val="005522CA"/>
    <w:rsid w:val="00555145"/>
    <w:rsid w:val="00555AFC"/>
    <w:rsid w:val="0055609F"/>
    <w:rsid w:val="00556737"/>
    <w:rsid w:val="00556EBF"/>
    <w:rsid w:val="00560DBB"/>
    <w:rsid w:val="0056108C"/>
    <w:rsid w:val="00562EE0"/>
    <w:rsid w:val="0056313A"/>
    <w:rsid w:val="00563C25"/>
    <w:rsid w:val="00566B7C"/>
    <w:rsid w:val="0057098B"/>
    <w:rsid w:val="005737F7"/>
    <w:rsid w:val="005756F4"/>
    <w:rsid w:val="005762E6"/>
    <w:rsid w:val="00577B89"/>
    <w:rsid w:val="00580F71"/>
    <w:rsid w:val="0058175D"/>
    <w:rsid w:val="00581D96"/>
    <w:rsid w:val="00582989"/>
    <w:rsid w:val="00591064"/>
    <w:rsid w:val="00593748"/>
    <w:rsid w:val="005964DE"/>
    <w:rsid w:val="005A0EAB"/>
    <w:rsid w:val="005A1734"/>
    <w:rsid w:val="005A19DC"/>
    <w:rsid w:val="005A1EBF"/>
    <w:rsid w:val="005A1F44"/>
    <w:rsid w:val="005A2928"/>
    <w:rsid w:val="005A31D3"/>
    <w:rsid w:val="005B0062"/>
    <w:rsid w:val="005B11AA"/>
    <w:rsid w:val="005B26BD"/>
    <w:rsid w:val="005B321B"/>
    <w:rsid w:val="005B3E9A"/>
    <w:rsid w:val="005B4302"/>
    <w:rsid w:val="005B4D40"/>
    <w:rsid w:val="005B4ED4"/>
    <w:rsid w:val="005B67BC"/>
    <w:rsid w:val="005B7813"/>
    <w:rsid w:val="005B7F08"/>
    <w:rsid w:val="005C077A"/>
    <w:rsid w:val="005C0885"/>
    <w:rsid w:val="005C0C51"/>
    <w:rsid w:val="005C0E4D"/>
    <w:rsid w:val="005C10D6"/>
    <w:rsid w:val="005C1E4A"/>
    <w:rsid w:val="005C20C8"/>
    <w:rsid w:val="005C3736"/>
    <w:rsid w:val="005C4C2B"/>
    <w:rsid w:val="005C5146"/>
    <w:rsid w:val="005C52EF"/>
    <w:rsid w:val="005C569E"/>
    <w:rsid w:val="005C56B0"/>
    <w:rsid w:val="005C5D9E"/>
    <w:rsid w:val="005C6C35"/>
    <w:rsid w:val="005C70B5"/>
    <w:rsid w:val="005C70C9"/>
    <w:rsid w:val="005C7CB0"/>
    <w:rsid w:val="005D0D76"/>
    <w:rsid w:val="005D15E5"/>
    <w:rsid w:val="005D2840"/>
    <w:rsid w:val="005D2A2C"/>
    <w:rsid w:val="005D361B"/>
    <w:rsid w:val="005D4630"/>
    <w:rsid w:val="005D638C"/>
    <w:rsid w:val="005E077C"/>
    <w:rsid w:val="005E07F5"/>
    <w:rsid w:val="005E391C"/>
    <w:rsid w:val="005E4697"/>
    <w:rsid w:val="005E5D0C"/>
    <w:rsid w:val="005E690E"/>
    <w:rsid w:val="005E73CE"/>
    <w:rsid w:val="005E7DB0"/>
    <w:rsid w:val="005F476A"/>
    <w:rsid w:val="005F50BC"/>
    <w:rsid w:val="005F54A3"/>
    <w:rsid w:val="005F6429"/>
    <w:rsid w:val="005F7AB9"/>
    <w:rsid w:val="00600644"/>
    <w:rsid w:val="00601502"/>
    <w:rsid w:val="00602211"/>
    <w:rsid w:val="00603E37"/>
    <w:rsid w:val="00606188"/>
    <w:rsid w:val="0060626A"/>
    <w:rsid w:val="00606621"/>
    <w:rsid w:val="0060734F"/>
    <w:rsid w:val="0060740D"/>
    <w:rsid w:val="00610633"/>
    <w:rsid w:val="00611610"/>
    <w:rsid w:val="006120CE"/>
    <w:rsid w:val="00613236"/>
    <w:rsid w:val="006160F0"/>
    <w:rsid w:val="00616244"/>
    <w:rsid w:val="00616C1B"/>
    <w:rsid w:val="00621C3C"/>
    <w:rsid w:val="0062396A"/>
    <w:rsid w:val="00623E11"/>
    <w:rsid w:val="00624CAA"/>
    <w:rsid w:val="00625A5A"/>
    <w:rsid w:val="006272BB"/>
    <w:rsid w:val="0063091D"/>
    <w:rsid w:val="006313F1"/>
    <w:rsid w:val="00631618"/>
    <w:rsid w:val="006347B1"/>
    <w:rsid w:val="0063541C"/>
    <w:rsid w:val="006354A6"/>
    <w:rsid w:val="006354D9"/>
    <w:rsid w:val="006359D6"/>
    <w:rsid w:val="00635A5A"/>
    <w:rsid w:val="00637491"/>
    <w:rsid w:val="00640572"/>
    <w:rsid w:val="00643BA6"/>
    <w:rsid w:val="00643F22"/>
    <w:rsid w:val="00644DB9"/>
    <w:rsid w:val="00646A8B"/>
    <w:rsid w:val="00646E8B"/>
    <w:rsid w:val="00647F88"/>
    <w:rsid w:val="00650094"/>
    <w:rsid w:val="00653608"/>
    <w:rsid w:val="00654CBD"/>
    <w:rsid w:val="00655083"/>
    <w:rsid w:val="00655A5A"/>
    <w:rsid w:val="0065674E"/>
    <w:rsid w:val="00656844"/>
    <w:rsid w:val="00657A14"/>
    <w:rsid w:val="00660DC7"/>
    <w:rsid w:val="0066152A"/>
    <w:rsid w:val="00661E9C"/>
    <w:rsid w:val="006623C9"/>
    <w:rsid w:val="00663636"/>
    <w:rsid w:val="00666EA9"/>
    <w:rsid w:val="006709A0"/>
    <w:rsid w:val="00673A12"/>
    <w:rsid w:val="00674190"/>
    <w:rsid w:val="00676072"/>
    <w:rsid w:val="006760E5"/>
    <w:rsid w:val="00676FE6"/>
    <w:rsid w:val="00676FE8"/>
    <w:rsid w:val="00684BAC"/>
    <w:rsid w:val="00687AC1"/>
    <w:rsid w:val="00690963"/>
    <w:rsid w:val="006913C2"/>
    <w:rsid w:val="00691D86"/>
    <w:rsid w:val="00692282"/>
    <w:rsid w:val="006927CA"/>
    <w:rsid w:val="00692EC9"/>
    <w:rsid w:val="006958B1"/>
    <w:rsid w:val="006970B7"/>
    <w:rsid w:val="006973E7"/>
    <w:rsid w:val="006A1681"/>
    <w:rsid w:val="006A3705"/>
    <w:rsid w:val="006A4403"/>
    <w:rsid w:val="006A54F6"/>
    <w:rsid w:val="006A73C0"/>
    <w:rsid w:val="006B0261"/>
    <w:rsid w:val="006B3705"/>
    <w:rsid w:val="006B4663"/>
    <w:rsid w:val="006B4F45"/>
    <w:rsid w:val="006B5D20"/>
    <w:rsid w:val="006B6036"/>
    <w:rsid w:val="006B78AD"/>
    <w:rsid w:val="006C0414"/>
    <w:rsid w:val="006C0EEF"/>
    <w:rsid w:val="006C2F0A"/>
    <w:rsid w:val="006C3AE4"/>
    <w:rsid w:val="006C40B6"/>
    <w:rsid w:val="006C4218"/>
    <w:rsid w:val="006C4F04"/>
    <w:rsid w:val="006C72A2"/>
    <w:rsid w:val="006C78A3"/>
    <w:rsid w:val="006D01A8"/>
    <w:rsid w:val="006D0366"/>
    <w:rsid w:val="006D2CD1"/>
    <w:rsid w:val="006D3975"/>
    <w:rsid w:val="006D483F"/>
    <w:rsid w:val="006E10C1"/>
    <w:rsid w:val="006E1140"/>
    <w:rsid w:val="006E1490"/>
    <w:rsid w:val="006E4396"/>
    <w:rsid w:val="006E443C"/>
    <w:rsid w:val="006E4F1E"/>
    <w:rsid w:val="006E5135"/>
    <w:rsid w:val="006F18A0"/>
    <w:rsid w:val="006F18DF"/>
    <w:rsid w:val="006F1ECD"/>
    <w:rsid w:val="006F3EEB"/>
    <w:rsid w:val="006F461B"/>
    <w:rsid w:val="006F4DA9"/>
    <w:rsid w:val="006F668D"/>
    <w:rsid w:val="006F7DF3"/>
    <w:rsid w:val="007024FC"/>
    <w:rsid w:val="00703761"/>
    <w:rsid w:val="00703825"/>
    <w:rsid w:val="00705EE4"/>
    <w:rsid w:val="00707379"/>
    <w:rsid w:val="00710D4B"/>
    <w:rsid w:val="00713EA5"/>
    <w:rsid w:val="00714817"/>
    <w:rsid w:val="007166CB"/>
    <w:rsid w:val="007178E6"/>
    <w:rsid w:val="00717EF5"/>
    <w:rsid w:val="0072185D"/>
    <w:rsid w:val="00722A54"/>
    <w:rsid w:val="007234EF"/>
    <w:rsid w:val="00723A16"/>
    <w:rsid w:val="00724066"/>
    <w:rsid w:val="0072559F"/>
    <w:rsid w:val="00725883"/>
    <w:rsid w:val="00727EA6"/>
    <w:rsid w:val="00730887"/>
    <w:rsid w:val="00730EC3"/>
    <w:rsid w:val="00732650"/>
    <w:rsid w:val="0073521B"/>
    <w:rsid w:val="00737D02"/>
    <w:rsid w:val="00740F32"/>
    <w:rsid w:val="007422B0"/>
    <w:rsid w:val="0074241F"/>
    <w:rsid w:val="00742A08"/>
    <w:rsid w:val="007445E7"/>
    <w:rsid w:val="00747D45"/>
    <w:rsid w:val="00750815"/>
    <w:rsid w:val="00750AD2"/>
    <w:rsid w:val="00750F67"/>
    <w:rsid w:val="00752BBC"/>
    <w:rsid w:val="007545F9"/>
    <w:rsid w:val="00754A06"/>
    <w:rsid w:val="00755DC7"/>
    <w:rsid w:val="0075637B"/>
    <w:rsid w:val="007570F6"/>
    <w:rsid w:val="00757D02"/>
    <w:rsid w:val="00757D21"/>
    <w:rsid w:val="00757EC9"/>
    <w:rsid w:val="00761475"/>
    <w:rsid w:val="00761A84"/>
    <w:rsid w:val="00761BB7"/>
    <w:rsid w:val="007621AC"/>
    <w:rsid w:val="00762273"/>
    <w:rsid w:val="007630BE"/>
    <w:rsid w:val="0076416E"/>
    <w:rsid w:val="00764221"/>
    <w:rsid w:val="00764D07"/>
    <w:rsid w:val="00766401"/>
    <w:rsid w:val="007708A3"/>
    <w:rsid w:val="00771E35"/>
    <w:rsid w:val="00772011"/>
    <w:rsid w:val="007743C5"/>
    <w:rsid w:val="00775B25"/>
    <w:rsid w:val="00776618"/>
    <w:rsid w:val="007769E5"/>
    <w:rsid w:val="00776A76"/>
    <w:rsid w:val="00776D14"/>
    <w:rsid w:val="00777D3A"/>
    <w:rsid w:val="00777F75"/>
    <w:rsid w:val="00780341"/>
    <w:rsid w:val="0078040F"/>
    <w:rsid w:val="00781E9F"/>
    <w:rsid w:val="00783B29"/>
    <w:rsid w:val="00784F10"/>
    <w:rsid w:val="00785A24"/>
    <w:rsid w:val="00785FB2"/>
    <w:rsid w:val="00790710"/>
    <w:rsid w:val="007924E6"/>
    <w:rsid w:val="007935AD"/>
    <w:rsid w:val="007939B0"/>
    <w:rsid w:val="00795592"/>
    <w:rsid w:val="00796E19"/>
    <w:rsid w:val="007A36EE"/>
    <w:rsid w:val="007A4C02"/>
    <w:rsid w:val="007A4FC2"/>
    <w:rsid w:val="007A4FCD"/>
    <w:rsid w:val="007A55B7"/>
    <w:rsid w:val="007A6D86"/>
    <w:rsid w:val="007B0376"/>
    <w:rsid w:val="007B0678"/>
    <w:rsid w:val="007B07D3"/>
    <w:rsid w:val="007B1029"/>
    <w:rsid w:val="007B276B"/>
    <w:rsid w:val="007B2E5E"/>
    <w:rsid w:val="007B302E"/>
    <w:rsid w:val="007B3656"/>
    <w:rsid w:val="007B48C0"/>
    <w:rsid w:val="007C080C"/>
    <w:rsid w:val="007C09EC"/>
    <w:rsid w:val="007C0EAF"/>
    <w:rsid w:val="007C1251"/>
    <w:rsid w:val="007C16EB"/>
    <w:rsid w:val="007C52E8"/>
    <w:rsid w:val="007C5A0A"/>
    <w:rsid w:val="007C6447"/>
    <w:rsid w:val="007D0C11"/>
    <w:rsid w:val="007D1632"/>
    <w:rsid w:val="007D1B8B"/>
    <w:rsid w:val="007D3CAA"/>
    <w:rsid w:val="007D5C05"/>
    <w:rsid w:val="007D60D8"/>
    <w:rsid w:val="007D67D7"/>
    <w:rsid w:val="007D685A"/>
    <w:rsid w:val="007D7B29"/>
    <w:rsid w:val="007E0F3D"/>
    <w:rsid w:val="007E0FF4"/>
    <w:rsid w:val="007E326D"/>
    <w:rsid w:val="007E3425"/>
    <w:rsid w:val="007E35FB"/>
    <w:rsid w:val="007E4C95"/>
    <w:rsid w:val="007E5603"/>
    <w:rsid w:val="007E7FF2"/>
    <w:rsid w:val="007F0C1B"/>
    <w:rsid w:val="007F3444"/>
    <w:rsid w:val="007F38AC"/>
    <w:rsid w:val="007F4887"/>
    <w:rsid w:val="007F5B16"/>
    <w:rsid w:val="007F6341"/>
    <w:rsid w:val="007F73C2"/>
    <w:rsid w:val="007F76CD"/>
    <w:rsid w:val="0080040C"/>
    <w:rsid w:val="008006DC"/>
    <w:rsid w:val="00800A95"/>
    <w:rsid w:val="00801130"/>
    <w:rsid w:val="00801711"/>
    <w:rsid w:val="0080324C"/>
    <w:rsid w:val="00803F1F"/>
    <w:rsid w:val="00803F9A"/>
    <w:rsid w:val="008040BE"/>
    <w:rsid w:val="00805278"/>
    <w:rsid w:val="0080734E"/>
    <w:rsid w:val="00810EFB"/>
    <w:rsid w:val="00812348"/>
    <w:rsid w:val="00813D9C"/>
    <w:rsid w:val="0081515D"/>
    <w:rsid w:val="00816570"/>
    <w:rsid w:val="0081688E"/>
    <w:rsid w:val="00816DC6"/>
    <w:rsid w:val="00817582"/>
    <w:rsid w:val="008210FE"/>
    <w:rsid w:val="0082157F"/>
    <w:rsid w:val="00822364"/>
    <w:rsid w:val="00822633"/>
    <w:rsid w:val="008242E1"/>
    <w:rsid w:val="00824D22"/>
    <w:rsid w:val="00825B27"/>
    <w:rsid w:val="00826421"/>
    <w:rsid w:val="00830665"/>
    <w:rsid w:val="00831688"/>
    <w:rsid w:val="008318E5"/>
    <w:rsid w:val="00832040"/>
    <w:rsid w:val="008343A2"/>
    <w:rsid w:val="00834477"/>
    <w:rsid w:val="00834D33"/>
    <w:rsid w:val="00834F57"/>
    <w:rsid w:val="00835018"/>
    <w:rsid w:val="00835AB4"/>
    <w:rsid w:val="0084044B"/>
    <w:rsid w:val="008411EA"/>
    <w:rsid w:val="00841518"/>
    <w:rsid w:val="00847F95"/>
    <w:rsid w:val="008518E3"/>
    <w:rsid w:val="0085299F"/>
    <w:rsid w:val="00853618"/>
    <w:rsid w:val="00853CC9"/>
    <w:rsid w:val="00854622"/>
    <w:rsid w:val="00854828"/>
    <w:rsid w:val="00855B3A"/>
    <w:rsid w:val="0085686E"/>
    <w:rsid w:val="008621D9"/>
    <w:rsid w:val="0086399F"/>
    <w:rsid w:val="00865F19"/>
    <w:rsid w:val="00866E69"/>
    <w:rsid w:val="00867DED"/>
    <w:rsid w:val="008723CB"/>
    <w:rsid w:val="008741BE"/>
    <w:rsid w:val="00874743"/>
    <w:rsid w:val="0087553A"/>
    <w:rsid w:val="00877AF3"/>
    <w:rsid w:val="00881F7C"/>
    <w:rsid w:val="00882818"/>
    <w:rsid w:val="0088323B"/>
    <w:rsid w:val="00885248"/>
    <w:rsid w:val="00885CD3"/>
    <w:rsid w:val="00886112"/>
    <w:rsid w:val="0088646B"/>
    <w:rsid w:val="0088653B"/>
    <w:rsid w:val="00887FF3"/>
    <w:rsid w:val="00890ADA"/>
    <w:rsid w:val="00892B17"/>
    <w:rsid w:val="008930A0"/>
    <w:rsid w:val="00893488"/>
    <w:rsid w:val="0089505B"/>
    <w:rsid w:val="008952D6"/>
    <w:rsid w:val="00895799"/>
    <w:rsid w:val="00895BEE"/>
    <w:rsid w:val="00896800"/>
    <w:rsid w:val="008A0558"/>
    <w:rsid w:val="008A0CC0"/>
    <w:rsid w:val="008A19FD"/>
    <w:rsid w:val="008A29FC"/>
    <w:rsid w:val="008B141B"/>
    <w:rsid w:val="008B395D"/>
    <w:rsid w:val="008B4042"/>
    <w:rsid w:val="008B470A"/>
    <w:rsid w:val="008B4795"/>
    <w:rsid w:val="008B4844"/>
    <w:rsid w:val="008B49CA"/>
    <w:rsid w:val="008B50E8"/>
    <w:rsid w:val="008B58EA"/>
    <w:rsid w:val="008B5F5A"/>
    <w:rsid w:val="008C28D1"/>
    <w:rsid w:val="008C2E13"/>
    <w:rsid w:val="008C3E42"/>
    <w:rsid w:val="008C40FA"/>
    <w:rsid w:val="008C5725"/>
    <w:rsid w:val="008C74F5"/>
    <w:rsid w:val="008D0150"/>
    <w:rsid w:val="008D088A"/>
    <w:rsid w:val="008D11A6"/>
    <w:rsid w:val="008D24F2"/>
    <w:rsid w:val="008D3149"/>
    <w:rsid w:val="008D3556"/>
    <w:rsid w:val="008D3988"/>
    <w:rsid w:val="008D49A0"/>
    <w:rsid w:val="008D4B4B"/>
    <w:rsid w:val="008D4CA8"/>
    <w:rsid w:val="008D6BB7"/>
    <w:rsid w:val="008E0C55"/>
    <w:rsid w:val="008E0F0E"/>
    <w:rsid w:val="008E1AE1"/>
    <w:rsid w:val="008E39F1"/>
    <w:rsid w:val="008E4F8A"/>
    <w:rsid w:val="008F0A44"/>
    <w:rsid w:val="008F0F34"/>
    <w:rsid w:val="008F157F"/>
    <w:rsid w:val="008F15A9"/>
    <w:rsid w:val="008F1AE9"/>
    <w:rsid w:val="008F2CCC"/>
    <w:rsid w:val="008F6C82"/>
    <w:rsid w:val="008F6D54"/>
    <w:rsid w:val="00901EEA"/>
    <w:rsid w:val="0090225F"/>
    <w:rsid w:val="009022EC"/>
    <w:rsid w:val="00902501"/>
    <w:rsid w:val="009039B7"/>
    <w:rsid w:val="00904014"/>
    <w:rsid w:val="009052D1"/>
    <w:rsid w:val="009063DD"/>
    <w:rsid w:val="00907041"/>
    <w:rsid w:val="00907925"/>
    <w:rsid w:val="0090796B"/>
    <w:rsid w:val="00907E95"/>
    <w:rsid w:val="0091063E"/>
    <w:rsid w:val="00911E47"/>
    <w:rsid w:val="009136D1"/>
    <w:rsid w:val="009136EC"/>
    <w:rsid w:val="0091394A"/>
    <w:rsid w:val="00913AF3"/>
    <w:rsid w:val="00914584"/>
    <w:rsid w:val="00914EAA"/>
    <w:rsid w:val="009158DD"/>
    <w:rsid w:val="00915935"/>
    <w:rsid w:val="00915BAF"/>
    <w:rsid w:val="00915BE3"/>
    <w:rsid w:val="0091681B"/>
    <w:rsid w:val="00916E2C"/>
    <w:rsid w:val="00917654"/>
    <w:rsid w:val="009210E3"/>
    <w:rsid w:val="00921510"/>
    <w:rsid w:val="00921551"/>
    <w:rsid w:val="00922906"/>
    <w:rsid w:val="00922B38"/>
    <w:rsid w:val="00923CA3"/>
    <w:rsid w:val="00924117"/>
    <w:rsid w:val="009307AE"/>
    <w:rsid w:val="00934675"/>
    <w:rsid w:val="00935556"/>
    <w:rsid w:val="009357B2"/>
    <w:rsid w:val="00935FEE"/>
    <w:rsid w:val="00940615"/>
    <w:rsid w:val="00941970"/>
    <w:rsid w:val="00943105"/>
    <w:rsid w:val="00943340"/>
    <w:rsid w:val="009508E5"/>
    <w:rsid w:val="00950AE6"/>
    <w:rsid w:val="00950E6F"/>
    <w:rsid w:val="00952394"/>
    <w:rsid w:val="00956187"/>
    <w:rsid w:val="00956640"/>
    <w:rsid w:val="00957FA7"/>
    <w:rsid w:val="00962654"/>
    <w:rsid w:val="009627D4"/>
    <w:rsid w:val="00965CE9"/>
    <w:rsid w:val="00966304"/>
    <w:rsid w:val="00972B49"/>
    <w:rsid w:val="009736CC"/>
    <w:rsid w:val="00973916"/>
    <w:rsid w:val="0097459C"/>
    <w:rsid w:val="00974FF4"/>
    <w:rsid w:val="009758C4"/>
    <w:rsid w:val="00977BA8"/>
    <w:rsid w:val="0098103A"/>
    <w:rsid w:val="00981C7B"/>
    <w:rsid w:val="00982783"/>
    <w:rsid w:val="009828DC"/>
    <w:rsid w:val="00984672"/>
    <w:rsid w:val="0098549D"/>
    <w:rsid w:val="0098669C"/>
    <w:rsid w:val="00986F6B"/>
    <w:rsid w:val="00991C2F"/>
    <w:rsid w:val="00991C66"/>
    <w:rsid w:val="009925FE"/>
    <w:rsid w:val="00993B91"/>
    <w:rsid w:val="00993F2D"/>
    <w:rsid w:val="00997BF8"/>
    <w:rsid w:val="009A185E"/>
    <w:rsid w:val="009A2B87"/>
    <w:rsid w:val="009A44C3"/>
    <w:rsid w:val="009A4818"/>
    <w:rsid w:val="009A6EC1"/>
    <w:rsid w:val="009B0939"/>
    <w:rsid w:val="009B109B"/>
    <w:rsid w:val="009B12FE"/>
    <w:rsid w:val="009B2982"/>
    <w:rsid w:val="009B3C8C"/>
    <w:rsid w:val="009B3D16"/>
    <w:rsid w:val="009B48A3"/>
    <w:rsid w:val="009B55A6"/>
    <w:rsid w:val="009B5A79"/>
    <w:rsid w:val="009B5F2D"/>
    <w:rsid w:val="009B6C6F"/>
    <w:rsid w:val="009B705F"/>
    <w:rsid w:val="009B7EEB"/>
    <w:rsid w:val="009C113E"/>
    <w:rsid w:val="009C189E"/>
    <w:rsid w:val="009C18F7"/>
    <w:rsid w:val="009C2FCC"/>
    <w:rsid w:val="009C344D"/>
    <w:rsid w:val="009C358C"/>
    <w:rsid w:val="009C6ED3"/>
    <w:rsid w:val="009D0072"/>
    <w:rsid w:val="009D12B4"/>
    <w:rsid w:val="009D18A4"/>
    <w:rsid w:val="009D1BD2"/>
    <w:rsid w:val="009D2AE6"/>
    <w:rsid w:val="009D301A"/>
    <w:rsid w:val="009D37F5"/>
    <w:rsid w:val="009D3B34"/>
    <w:rsid w:val="009D5629"/>
    <w:rsid w:val="009D703D"/>
    <w:rsid w:val="009E27B7"/>
    <w:rsid w:val="009E3C08"/>
    <w:rsid w:val="009E4FD1"/>
    <w:rsid w:val="009E57C9"/>
    <w:rsid w:val="009E66A1"/>
    <w:rsid w:val="009E6ED7"/>
    <w:rsid w:val="009E6FE0"/>
    <w:rsid w:val="009E790C"/>
    <w:rsid w:val="009F045D"/>
    <w:rsid w:val="009F0463"/>
    <w:rsid w:val="009F0E63"/>
    <w:rsid w:val="009F1A3D"/>
    <w:rsid w:val="009F213A"/>
    <w:rsid w:val="009F29EA"/>
    <w:rsid w:val="009F5A8F"/>
    <w:rsid w:val="009F67A4"/>
    <w:rsid w:val="009F6B65"/>
    <w:rsid w:val="00A0089E"/>
    <w:rsid w:val="00A04433"/>
    <w:rsid w:val="00A05A42"/>
    <w:rsid w:val="00A0637A"/>
    <w:rsid w:val="00A10B0D"/>
    <w:rsid w:val="00A11D14"/>
    <w:rsid w:val="00A12BD3"/>
    <w:rsid w:val="00A12D41"/>
    <w:rsid w:val="00A1397B"/>
    <w:rsid w:val="00A147CD"/>
    <w:rsid w:val="00A1711D"/>
    <w:rsid w:val="00A20B9B"/>
    <w:rsid w:val="00A21788"/>
    <w:rsid w:val="00A24314"/>
    <w:rsid w:val="00A247EF"/>
    <w:rsid w:val="00A24BC3"/>
    <w:rsid w:val="00A254B9"/>
    <w:rsid w:val="00A25E16"/>
    <w:rsid w:val="00A26FC4"/>
    <w:rsid w:val="00A3005D"/>
    <w:rsid w:val="00A30438"/>
    <w:rsid w:val="00A323A5"/>
    <w:rsid w:val="00A32B12"/>
    <w:rsid w:val="00A32CCF"/>
    <w:rsid w:val="00A339A2"/>
    <w:rsid w:val="00A34CA7"/>
    <w:rsid w:val="00A34EE8"/>
    <w:rsid w:val="00A375D1"/>
    <w:rsid w:val="00A42E72"/>
    <w:rsid w:val="00A42F6C"/>
    <w:rsid w:val="00A43D48"/>
    <w:rsid w:val="00A445AF"/>
    <w:rsid w:val="00A44768"/>
    <w:rsid w:val="00A50BD6"/>
    <w:rsid w:val="00A51050"/>
    <w:rsid w:val="00A51259"/>
    <w:rsid w:val="00A52EC1"/>
    <w:rsid w:val="00A5446A"/>
    <w:rsid w:val="00A545C9"/>
    <w:rsid w:val="00A55B64"/>
    <w:rsid w:val="00A5663A"/>
    <w:rsid w:val="00A5722F"/>
    <w:rsid w:val="00A579F5"/>
    <w:rsid w:val="00A608EB"/>
    <w:rsid w:val="00A609EC"/>
    <w:rsid w:val="00A60D74"/>
    <w:rsid w:val="00A62422"/>
    <w:rsid w:val="00A62C6B"/>
    <w:rsid w:val="00A63374"/>
    <w:rsid w:val="00A6399E"/>
    <w:rsid w:val="00A6732A"/>
    <w:rsid w:val="00A67B26"/>
    <w:rsid w:val="00A703DA"/>
    <w:rsid w:val="00A712FC"/>
    <w:rsid w:val="00A713D9"/>
    <w:rsid w:val="00A71637"/>
    <w:rsid w:val="00A71BF3"/>
    <w:rsid w:val="00A722B4"/>
    <w:rsid w:val="00A74F9C"/>
    <w:rsid w:val="00A75124"/>
    <w:rsid w:val="00A77BD6"/>
    <w:rsid w:val="00A77BE9"/>
    <w:rsid w:val="00A811AD"/>
    <w:rsid w:val="00A811CE"/>
    <w:rsid w:val="00A816DD"/>
    <w:rsid w:val="00A82573"/>
    <w:rsid w:val="00A83941"/>
    <w:rsid w:val="00A85D16"/>
    <w:rsid w:val="00A867E2"/>
    <w:rsid w:val="00A87D6A"/>
    <w:rsid w:val="00A90802"/>
    <w:rsid w:val="00A908A7"/>
    <w:rsid w:val="00A9157F"/>
    <w:rsid w:val="00A92373"/>
    <w:rsid w:val="00A92D42"/>
    <w:rsid w:val="00A93F60"/>
    <w:rsid w:val="00A957C4"/>
    <w:rsid w:val="00A95EAC"/>
    <w:rsid w:val="00A96845"/>
    <w:rsid w:val="00A96D26"/>
    <w:rsid w:val="00AA045B"/>
    <w:rsid w:val="00AA1F91"/>
    <w:rsid w:val="00AA214F"/>
    <w:rsid w:val="00AA3280"/>
    <w:rsid w:val="00AA338C"/>
    <w:rsid w:val="00AA5933"/>
    <w:rsid w:val="00AA5F1C"/>
    <w:rsid w:val="00AA75D4"/>
    <w:rsid w:val="00AA7CB8"/>
    <w:rsid w:val="00AB0526"/>
    <w:rsid w:val="00AB0589"/>
    <w:rsid w:val="00AB0E8A"/>
    <w:rsid w:val="00AB1CBE"/>
    <w:rsid w:val="00AB1DA8"/>
    <w:rsid w:val="00AB4603"/>
    <w:rsid w:val="00AC0246"/>
    <w:rsid w:val="00AC0E8A"/>
    <w:rsid w:val="00AC1908"/>
    <w:rsid w:val="00AC2860"/>
    <w:rsid w:val="00AC41F0"/>
    <w:rsid w:val="00AD0972"/>
    <w:rsid w:val="00AD1A46"/>
    <w:rsid w:val="00AD2129"/>
    <w:rsid w:val="00AD2672"/>
    <w:rsid w:val="00AD4542"/>
    <w:rsid w:val="00AD6EFE"/>
    <w:rsid w:val="00AE1B0C"/>
    <w:rsid w:val="00AE20F3"/>
    <w:rsid w:val="00AE2813"/>
    <w:rsid w:val="00AE4590"/>
    <w:rsid w:val="00AE50D5"/>
    <w:rsid w:val="00AE7552"/>
    <w:rsid w:val="00AE758B"/>
    <w:rsid w:val="00AF2E4A"/>
    <w:rsid w:val="00AF3147"/>
    <w:rsid w:val="00AF3AD4"/>
    <w:rsid w:val="00AF43AF"/>
    <w:rsid w:val="00AF5095"/>
    <w:rsid w:val="00AF536A"/>
    <w:rsid w:val="00AF5FA3"/>
    <w:rsid w:val="00B000AA"/>
    <w:rsid w:val="00B008AD"/>
    <w:rsid w:val="00B038BC"/>
    <w:rsid w:val="00B06DD4"/>
    <w:rsid w:val="00B11AB0"/>
    <w:rsid w:val="00B12D51"/>
    <w:rsid w:val="00B139BE"/>
    <w:rsid w:val="00B15243"/>
    <w:rsid w:val="00B1609A"/>
    <w:rsid w:val="00B1665D"/>
    <w:rsid w:val="00B16CDC"/>
    <w:rsid w:val="00B171FE"/>
    <w:rsid w:val="00B2009D"/>
    <w:rsid w:val="00B206DD"/>
    <w:rsid w:val="00B20965"/>
    <w:rsid w:val="00B20E71"/>
    <w:rsid w:val="00B226BD"/>
    <w:rsid w:val="00B2424D"/>
    <w:rsid w:val="00B31298"/>
    <w:rsid w:val="00B33CB5"/>
    <w:rsid w:val="00B35218"/>
    <w:rsid w:val="00B358C3"/>
    <w:rsid w:val="00B372A8"/>
    <w:rsid w:val="00B37C4D"/>
    <w:rsid w:val="00B4010B"/>
    <w:rsid w:val="00B41FC3"/>
    <w:rsid w:val="00B425D0"/>
    <w:rsid w:val="00B44814"/>
    <w:rsid w:val="00B50EE7"/>
    <w:rsid w:val="00B510F4"/>
    <w:rsid w:val="00B51B0A"/>
    <w:rsid w:val="00B52DDB"/>
    <w:rsid w:val="00B55307"/>
    <w:rsid w:val="00B56CC9"/>
    <w:rsid w:val="00B570AE"/>
    <w:rsid w:val="00B603C6"/>
    <w:rsid w:val="00B606ED"/>
    <w:rsid w:val="00B60B6F"/>
    <w:rsid w:val="00B61736"/>
    <w:rsid w:val="00B64288"/>
    <w:rsid w:val="00B6642F"/>
    <w:rsid w:val="00B66D08"/>
    <w:rsid w:val="00B67195"/>
    <w:rsid w:val="00B70189"/>
    <w:rsid w:val="00B701F5"/>
    <w:rsid w:val="00B72269"/>
    <w:rsid w:val="00B744FB"/>
    <w:rsid w:val="00B74A27"/>
    <w:rsid w:val="00B74AE8"/>
    <w:rsid w:val="00B74F37"/>
    <w:rsid w:val="00B75F2F"/>
    <w:rsid w:val="00B76331"/>
    <w:rsid w:val="00B770B7"/>
    <w:rsid w:val="00B77413"/>
    <w:rsid w:val="00B803A0"/>
    <w:rsid w:val="00B808FC"/>
    <w:rsid w:val="00B81557"/>
    <w:rsid w:val="00B8189D"/>
    <w:rsid w:val="00B83660"/>
    <w:rsid w:val="00B875BC"/>
    <w:rsid w:val="00B8778A"/>
    <w:rsid w:val="00B87C81"/>
    <w:rsid w:val="00B90324"/>
    <w:rsid w:val="00B909CB"/>
    <w:rsid w:val="00B90B1C"/>
    <w:rsid w:val="00B91420"/>
    <w:rsid w:val="00B916BB"/>
    <w:rsid w:val="00B918A8"/>
    <w:rsid w:val="00B92EE1"/>
    <w:rsid w:val="00B93262"/>
    <w:rsid w:val="00B93EDC"/>
    <w:rsid w:val="00B94009"/>
    <w:rsid w:val="00B95608"/>
    <w:rsid w:val="00B965F1"/>
    <w:rsid w:val="00B97816"/>
    <w:rsid w:val="00BA05BE"/>
    <w:rsid w:val="00BA11E7"/>
    <w:rsid w:val="00BA1679"/>
    <w:rsid w:val="00BA2319"/>
    <w:rsid w:val="00BA2DA7"/>
    <w:rsid w:val="00BA3D61"/>
    <w:rsid w:val="00BA41FF"/>
    <w:rsid w:val="00BA4724"/>
    <w:rsid w:val="00BA5047"/>
    <w:rsid w:val="00BA631B"/>
    <w:rsid w:val="00BB090C"/>
    <w:rsid w:val="00BB0EA5"/>
    <w:rsid w:val="00BB1337"/>
    <w:rsid w:val="00BB2163"/>
    <w:rsid w:val="00BB2201"/>
    <w:rsid w:val="00BB3FC6"/>
    <w:rsid w:val="00BB422B"/>
    <w:rsid w:val="00BB44DD"/>
    <w:rsid w:val="00BB589D"/>
    <w:rsid w:val="00BB6891"/>
    <w:rsid w:val="00BB6D82"/>
    <w:rsid w:val="00BC0F21"/>
    <w:rsid w:val="00BC3D37"/>
    <w:rsid w:val="00BC47D1"/>
    <w:rsid w:val="00BC5A06"/>
    <w:rsid w:val="00BD00CD"/>
    <w:rsid w:val="00BD0997"/>
    <w:rsid w:val="00BD17DF"/>
    <w:rsid w:val="00BD2ECB"/>
    <w:rsid w:val="00BD4E88"/>
    <w:rsid w:val="00BD6130"/>
    <w:rsid w:val="00BE0AA5"/>
    <w:rsid w:val="00BE0DA4"/>
    <w:rsid w:val="00BE0DAB"/>
    <w:rsid w:val="00BE32D0"/>
    <w:rsid w:val="00BE391D"/>
    <w:rsid w:val="00BE3C6A"/>
    <w:rsid w:val="00BE3D28"/>
    <w:rsid w:val="00BE594E"/>
    <w:rsid w:val="00BE6E33"/>
    <w:rsid w:val="00BE7DF2"/>
    <w:rsid w:val="00BF02AC"/>
    <w:rsid w:val="00BF3319"/>
    <w:rsid w:val="00BF3396"/>
    <w:rsid w:val="00BF47E0"/>
    <w:rsid w:val="00BF53A6"/>
    <w:rsid w:val="00BF757D"/>
    <w:rsid w:val="00BF7F90"/>
    <w:rsid w:val="00C00DC7"/>
    <w:rsid w:val="00C03C5B"/>
    <w:rsid w:val="00C04293"/>
    <w:rsid w:val="00C044A3"/>
    <w:rsid w:val="00C05339"/>
    <w:rsid w:val="00C0556F"/>
    <w:rsid w:val="00C05644"/>
    <w:rsid w:val="00C057DA"/>
    <w:rsid w:val="00C079F0"/>
    <w:rsid w:val="00C10D83"/>
    <w:rsid w:val="00C10DD4"/>
    <w:rsid w:val="00C124D2"/>
    <w:rsid w:val="00C12812"/>
    <w:rsid w:val="00C136F8"/>
    <w:rsid w:val="00C141C8"/>
    <w:rsid w:val="00C16557"/>
    <w:rsid w:val="00C16B7C"/>
    <w:rsid w:val="00C178BC"/>
    <w:rsid w:val="00C17F03"/>
    <w:rsid w:val="00C20D24"/>
    <w:rsid w:val="00C21130"/>
    <w:rsid w:val="00C2143D"/>
    <w:rsid w:val="00C23BF5"/>
    <w:rsid w:val="00C247FF"/>
    <w:rsid w:val="00C25EF3"/>
    <w:rsid w:val="00C27D3B"/>
    <w:rsid w:val="00C307F2"/>
    <w:rsid w:val="00C30F49"/>
    <w:rsid w:val="00C314D3"/>
    <w:rsid w:val="00C31646"/>
    <w:rsid w:val="00C34D9C"/>
    <w:rsid w:val="00C351C5"/>
    <w:rsid w:val="00C35973"/>
    <w:rsid w:val="00C361B0"/>
    <w:rsid w:val="00C370FB"/>
    <w:rsid w:val="00C378B2"/>
    <w:rsid w:val="00C405F8"/>
    <w:rsid w:val="00C40B38"/>
    <w:rsid w:val="00C430D5"/>
    <w:rsid w:val="00C44447"/>
    <w:rsid w:val="00C4563D"/>
    <w:rsid w:val="00C45CE3"/>
    <w:rsid w:val="00C45EC9"/>
    <w:rsid w:val="00C46841"/>
    <w:rsid w:val="00C527E7"/>
    <w:rsid w:val="00C54D47"/>
    <w:rsid w:val="00C554DF"/>
    <w:rsid w:val="00C555AE"/>
    <w:rsid w:val="00C574FB"/>
    <w:rsid w:val="00C57544"/>
    <w:rsid w:val="00C619BC"/>
    <w:rsid w:val="00C619F9"/>
    <w:rsid w:val="00C63396"/>
    <w:rsid w:val="00C65FBC"/>
    <w:rsid w:val="00C6742A"/>
    <w:rsid w:val="00C70BFE"/>
    <w:rsid w:val="00C7110F"/>
    <w:rsid w:val="00C7190A"/>
    <w:rsid w:val="00C71DC6"/>
    <w:rsid w:val="00C71FBB"/>
    <w:rsid w:val="00C74F56"/>
    <w:rsid w:val="00C75A59"/>
    <w:rsid w:val="00C81759"/>
    <w:rsid w:val="00C81925"/>
    <w:rsid w:val="00C81B38"/>
    <w:rsid w:val="00C82AC7"/>
    <w:rsid w:val="00C82F57"/>
    <w:rsid w:val="00C83327"/>
    <w:rsid w:val="00C84A7F"/>
    <w:rsid w:val="00C86409"/>
    <w:rsid w:val="00C869B9"/>
    <w:rsid w:val="00C87470"/>
    <w:rsid w:val="00C87A06"/>
    <w:rsid w:val="00C87AF2"/>
    <w:rsid w:val="00C90286"/>
    <w:rsid w:val="00C9099F"/>
    <w:rsid w:val="00C90A1A"/>
    <w:rsid w:val="00C9177E"/>
    <w:rsid w:val="00C95F4D"/>
    <w:rsid w:val="00C9638C"/>
    <w:rsid w:val="00C96AC2"/>
    <w:rsid w:val="00CA11C7"/>
    <w:rsid w:val="00CA42D1"/>
    <w:rsid w:val="00CA436F"/>
    <w:rsid w:val="00CA4501"/>
    <w:rsid w:val="00CA73BD"/>
    <w:rsid w:val="00CB34AC"/>
    <w:rsid w:val="00CB5041"/>
    <w:rsid w:val="00CB66F8"/>
    <w:rsid w:val="00CC0B1D"/>
    <w:rsid w:val="00CC1794"/>
    <w:rsid w:val="00CC1F17"/>
    <w:rsid w:val="00CC35D9"/>
    <w:rsid w:val="00CC4E3E"/>
    <w:rsid w:val="00CC5042"/>
    <w:rsid w:val="00CC56EE"/>
    <w:rsid w:val="00CC5B93"/>
    <w:rsid w:val="00CC6BF1"/>
    <w:rsid w:val="00CC7E3A"/>
    <w:rsid w:val="00CD0090"/>
    <w:rsid w:val="00CD1EA1"/>
    <w:rsid w:val="00CD1EBD"/>
    <w:rsid w:val="00CD23F3"/>
    <w:rsid w:val="00CD315F"/>
    <w:rsid w:val="00CD4392"/>
    <w:rsid w:val="00CD6CDE"/>
    <w:rsid w:val="00CD705B"/>
    <w:rsid w:val="00CD73DD"/>
    <w:rsid w:val="00CE0C77"/>
    <w:rsid w:val="00CE196A"/>
    <w:rsid w:val="00CE19EC"/>
    <w:rsid w:val="00CE4F43"/>
    <w:rsid w:val="00CE70E2"/>
    <w:rsid w:val="00CE7A01"/>
    <w:rsid w:val="00CE7F9A"/>
    <w:rsid w:val="00CF0DE2"/>
    <w:rsid w:val="00CF1968"/>
    <w:rsid w:val="00CF237B"/>
    <w:rsid w:val="00CF27BE"/>
    <w:rsid w:val="00CF2879"/>
    <w:rsid w:val="00CF289D"/>
    <w:rsid w:val="00CF34EF"/>
    <w:rsid w:val="00CF3C5C"/>
    <w:rsid w:val="00CF4F10"/>
    <w:rsid w:val="00CF6B37"/>
    <w:rsid w:val="00CF706E"/>
    <w:rsid w:val="00D00F2E"/>
    <w:rsid w:val="00D00FAE"/>
    <w:rsid w:val="00D017C5"/>
    <w:rsid w:val="00D03962"/>
    <w:rsid w:val="00D04233"/>
    <w:rsid w:val="00D0456D"/>
    <w:rsid w:val="00D04719"/>
    <w:rsid w:val="00D05246"/>
    <w:rsid w:val="00D054E1"/>
    <w:rsid w:val="00D05970"/>
    <w:rsid w:val="00D05BC7"/>
    <w:rsid w:val="00D06EB9"/>
    <w:rsid w:val="00D10E68"/>
    <w:rsid w:val="00D11FEC"/>
    <w:rsid w:val="00D129FA"/>
    <w:rsid w:val="00D12B30"/>
    <w:rsid w:val="00D146AE"/>
    <w:rsid w:val="00D147D9"/>
    <w:rsid w:val="00D26226"/>
    <w:rsid w:val="00D272A0"/>
    <w:rsid w:val="00D30B62"/>
    <w:rsid w:val="00D31930"/>
    <w:rsid w:val="00D31EB1"/>
    <w:rsid w:val="00D359A4"/>
    <w:rsid w:val="00D35B24"/>
    <w:rsid w:val="00D368D9"/>
    <w:rsid w:val="00D370D8"/>
    <w:rsid w:val="00D41BC2"/>
    <w:rsid w:val="00D42B2A"/>
    <w:rsid w:val="00D439E3"/>
    <w:rsid w:val="00D452DB"/>
    <w:rsid w:val="00D4562C"/>
    <w:rsid w:val="00D46636"/>
    <w:rsid w:val="00D508F5"/>
    <w:rsid w:val="00D50B91"/>
    <w:rsid w:val="00D5243C"/>
    <w:rsid w:val="00D52973"/>
    <w:rsid w:val="00D52ED6"/>
    <w:rsid w:val="00D53B13"/>
    <w:rsid w:val="00D54AAF"/>
    <w:rsid w:val="00D5747E"/>
    <w:rsid w:val="00D64394"/>
    <w:rsid w:val="00D64A71"/>
    <w:rsid w:val="00D64B3C"/>
    <w:rsid w:val="00D67158"/>
    <w:rsid w:val="00D677CF"/>
    <w:rsid w:val="00D70010"/>
    <w:rsid w:val="00D70C23"/>
    <w:rsid w:val="00D710B6"/>
    <w:rsid w:val="00D71A01"/>
    <w:rsid w:val="00D73B98"/>
    <w:rsid w:val="00D7476C"/>
    <w:rsid w:val="00D76A91"/>
    <w:rsid w:val="00D77AAC"/>
    <w:rsid w:val="00D80120"/>
    <w:rsid w:val="00D80165"/>
    <w:rsid w:val="00D8116C"/>
    <w:rsid w:val="00D836BF"/>
    <w:rsid w:val="00D838C4"/>
    <w:rsid w:val="00D860FA"/>
    <w:rsid w:val="00D86501"/>
    <w:rsid w:val="00D86BE7"/>
    <w:rsid w:val="00D8720D"/>
    <w:rsid w:val="00D87596"/>
    <w:rsid w:val="00D87644"/>
    <w:rsid w:val="00D9115B"/>
    <w:rsid w:val="00D9182E"/>
    <w:rsid w:val="00D918A0"/>
    <w:rsid w:val="00D91AFD"/>
    <w:rsid w:val="00D93888"/>
    <w:rsid w:val="00D95264"/>
    <w:rsid w:val="00D955D8"/>
    <w:rsid w:val="00D95ACD"/>
    <w:rsid w:val="00D96326"/>
    <w:rsid w:val="00D96BE3"/>
    <w:rsid w:val="00D96D8A"/>
    <w:rsid w:val="00DA2F87"/>
    <w:rsid w:val="00DA3900"/>
    <w:rsid w:val="00DA3D0E"/>
    <w:rsid w:val="00DA4232"/>
    <w:rsid w:val="00DA48BC"/>
    <w:rsid w:val="00DA4FE7"/>
    <w:rsid w:val="00DA52B8"/>
    <w:rsid w:val="00DA62D2"/>
    <w:rsid w:val="00DA6A06"/>
    <w:rsid w:val="00DA6CC1"/>
    <w:rsid w:val="00DA79BC"/>
    <w:rsid w:val="00DB21AD"/>
    <w:rsid w:val="00DB2F35"/>
    <w:rsid w:val="00DB3B87"/>
    <w:rsid w:val="00DB4D40"/>
    <w:rsid w:val="00DB5933"/>
    <w:rsid w:val="00DC11E7"/>
    <w:rsid w:val="00DC18A9"/>
    <w:rsid w:val="00DC303F"/>
    <w:rsid w:val="00DC3749"/>
    <w:rsid w:val="00DC37A3"/>
    <w:rsid w:val="00DC4468"/>
    <w:rsid w:val="00DC5B53"/>
    <w:rsid w:val="00DC5C1A"/>
    <w:rsid w:val="00DC5DF5"/>
    <w:rsid w:val="00DD0941"/>
    <w:rsid w:val="00DD1A4A"/>
    <w:rsid w:val="00DD2F75"/>
    <w:rsid w:val="00DD3356"/>
    <w:rsid w:val="00DD3415"/>
    <w:rsid w:val="00DD405C"/>
    <w:rsid w:val="00DD4CF2"/>
    <w:rsid w:val="00DD76F4"/>
    <w:rsid w:val="00DE18EB"/>
    <w:rsid w:val="00DE2C28"/>
    <w:rsid w:val="00DE3A5B"/>
    <w:rsid w:val="00DE3FFE"/>
    <w:rsid w:val="00DE6456"/>
    <w:rsid w:val="00DE6D21"/>
    <w:rsid w:val="00DF052E"/>
    <w:rsid w:val="00DF0887"/>
    <w:rsid w:val="00DF140B"/>
    <w:rsid w:val="00DF14AB"/>
    <w:rsid w:val="00DF2BD9"/>
    <w:rsid w:val="00DF38AF"/>
    <w:rsid w:val="00DF42B4"/>
    <w:rsid w:val="00DF4593"/>
    <w:rsid w:val="00DF4EC9"/>
    <w:rsid w:val="00E0369E"/>
    <w:rsid w:val="00E03749"/>
    <w:rsid w:val="00E04B6D"/>
    <w:rsid w:val="00E05BDE"/>
    <w:rsid w:val="00E06FB2"/>
    <w:rsid w:val="00E073DB"/>
    <w:rsid w:val="00E07DD7"/>
    <w:rsid w:val="00E10646"/>
    <w:rsid w:val="00E11111"/>
    <w:rsid w:val="00E11707"/>
    <w:rsid w:val="00E13FE0"/>
    <w:rsid w:val="00E14ACF"/>
    <w:rsid w:val="00E14AFB"/>
    <w:rsid w:val="00E1550D"/>
    <w:rsid w:val="00E15C28"/>
    <w:rsid w:val="00E160BD"/>
    <w:rsid w:val="00E20DCE"/>
    <w:rsid w:val="00E20EB8"/>
    <w:rsid w:val="00E2428D"/>
    <w:rsid w:val="00E2474D"/>
    <w:rsid w:val="00E24FC7"/>
    <w:rsid w:val="00E25EEC"/>
    <w:rsid w:val="00E26243"/>
    <w:rsid w:val="00E27B3A"/>
    <w:rsid w:val="00E305F2"/>
    <w:rsid w:val="00E30CF8"/>
    <w:rsid w:val="00E30D7F"/>
    <w:rsid w:val="00E3179A"/>
    <w:rsid w:val="00E31EFC"/>
    <w:rsid w:val="00E330AA"/>
    <w:rsid w:val="00E330CF"/>
    <w:rsid w:val="00E334C4"/>
    <w:rsid w:val="00E36625"/>
    <w:rsid w:val="00E367D1"/>
    <w:rsid w:val="00E37387"/>
    <w:rsid w:val="00E40325"/>
    <w:rsid w:val="00E404CB"/>
    <w:rsid w:val="00E41A5E"/>
    <w:rsid w:val="00E42DBE"/>
    <w:rsid w:val="00E43D9F"/>
    <w:rsid w:val="00E514C8"/>
    <w:rsid w:val="00E52634"/>
    <w:rsid w:val="00E52D50"/>
    <w:rsid w:val="00E54038"/>
    <w:rsid w:val="00E558BC"/>
    <w:rsid w:val="00E56720"/>
    <w:rsid w:val="00E57924"/>
    <w:rsid w:val="00E63C9C"/>
    <w:rsid w:val="00E63E5D"/>
    <w:rsid w:val="00E64956"/>
    <w:rsid w:val="00E6592F"/>
    <w:rsid w:val="00E67B8D"/>
    <w:rsid w:val="00E707E3"/>
    <w:rsid w:val="00E70B3F"/>
    <w:rsid w:val="00E71211"/>
    <w:rsid w:val="00E71D3A"/>
    <w:rsid w:val="00E7436A"/>
    <w:rsid w:val="00E74D7E"/>
    <w:rsid w:val="00E7539D"/>
    <w:rsid w:val="00E75AAF"/>
    <w:rsid w:val="00E76669"/>
    <w:rsid w:val="00E7679A"/>
    <w:rsid w:val="00E772BC"/>
    <w:rsid w:val="00E772F5"/>
    <w:rsid w:val="00E80514"/>
    <w:rsid w:val="00E80CC8"/>
    <w:rsid w:val="00E81451"/>
    <w:rsid w:val="00E8470E"/>
    <w:rsid w:val="00E84DB1"/>
    <w:rsid w:val="00E8581B"/>
    <w:rsid w:val="00E858D8"/>
    <w:rsid w:val="00E85A07"/>
    <w:rsid w:val="00E87CB9"/>
    <w:rsid w:val="00E90326"/>
    <w:rsid w:val="00E9204D"/>
    <w:rsid w:val="00E9310E"/>
    <w:rsid w:val="00E935AC"/>
    <w:rsid w:val="00E94084"/>
    <w:rsid w:val="00E95FDD"/>
    <w:rsid w:val="00E97F0B"/>
    <w:rsid w:val="00E97F6E"/>
    <w:rsid w:val="00EA109F"/>
    <w:rsid w:val="00EA31D0"/>
    <w:rsid w:val="00EA3F0E"/>
    <w:rsid w:val="00EA76D8"/>
    <w:rsid w:val="00EB06D4"/>
    <w:rsid w:val="00EB2543"/>
    <w:rsid w:val="00EB2A50"/>
    <w:rsid w:val="00EB2A60"/>
    <w:rsid w:val="00EB4E62"/>
    <w:rsid w:val="00EB4F6B"/>
    <w:rsid w:val="00EB4F9F"/>
    <w:rsid w:val="00EB5F08"/>
    <w:rsid w:val="00EB7268"/>
    <w:rsid w:val="00EC1DCF"/>
    <w:rsid w:val="00EC26BC"/>
    <w:rsid w:val="00ED2E37"/>
    <w:rsid w:val="00ED43B9"/>
    <w:rsid w:val="00ED47CA"/>
    <w:rsid w:val="00ED5439"/>
    <w:rsid w:val="00ED658A"/>
    <w:rsid w:val="00ED7288"/>
    <w:rsid w:val="00ED7A0F"/>
    <w:rsid w:val="00EE1788"/>
    <w:rsid w:val="00EE328B"/>
    <w:rsid w:val="00EE4B22"/>
    <w:rsid w:val="00EE5B75"/>
    <w:rsid w:val="00EE5CD5"/>
    <w:rsid w:val="00EE5E06"/>
    <w:rsid w:val="00EF5B30"/>
    <w:rsid w:val="00EF7B85"/>
    <w:rsid w:val="00EF7C43"/>
    <w:rsid w:val="00F0016A"/>
    <w:rsid w:val="00F001EA"/>
    <w:rsid w:val="00F01F8B"/>
    <w:rsid w:val="00F02794"/>
    <w:rsid w:val="00F043B3"/>
    <w:rsid w:val="00F044DD"/>
    <w:rsid w:val="00F052D5"/>
    <w:rsid w:val="00F054DD"/>
    <w:rsid w:val="00F10480"/>
    <w:rsid w:val="00F109B3"/>
    <w:rsid w:val="00F11001"/>
    <w:rsid w:val="00F12D26"/>
    <w:rsid w:val="00F12DD7"/>
    <w:rsid w:val="00F12FBD"/>
    <w:rsid w:val="00F14646"/>
    <w:rsid w:val="00F158FA"/>
    <w:rsid w:val="00F15F1A"/>
    <w:rsid w:val="00F16473"/>
    <w:rsid w:val="00F16F43"/>
    <w:rsid w:val="00F175B4"/>
    <w:rsid w:val="00F201C9"/>
    <w:rsid w:val="00F2066D"/>
    <w:rsid w:val="00F21714"/>
    <w:rsid w:val="00F21D37"/>
    <w:rsid w:val="00F2215B"/>
    <w:rsid w:val="00F222A0"/>
    <w:rsid w:val="00F22CC7"/>
    <w:rsid w:val="00F22E26"/>
    <w:rsid w:val="00F248C9"/>
    <w:rsid w:val="00F2630D"/>
    <w:rsid w:val="00F27AC4"/>
    <w:rsid w:val="00F27E4A"/>
    <w:rsid w:val="00F31609"/>
    <w:rsid w:val="00F320EA"/>
    <w:rsid w:val="00F329D8"/>
    <w:rsid w:val="00F33034"/>
    <w:rsid w:val="00F337A0"/>
    <w:rsid w:val="00F33F0A"/>
    <w:rsid w:val="00F344C6"/>
    <w:rsid w:val="00F352C7"/>
    <w:rsid w:val="00F366EA"/>
    <w:rsid w:val="00F41605"/>
    <w:rsid w:val="00F421EC"/>
    <w:rsid w:val="00F42454"/>
    <w:rsid w:val="00F4332F"/>
    <w:rsid w:val="00F434FC"/>
    <w:rsid w:val="00F44445"/>
    <w:rsid w:val="00F468DD"/>
    <w:rsid w:val="00F47128"/>
    <w:rsid w:val="00F47E25"/>
    <w:rsid w:val="00F505A0"/>
    <w:rsid w:val="00F50A4A"/>
    <w:rsid w:val="00F5226B"/>
    <w:rsid w:val="00F53532"/>
    <w:rsid w:val="00F5634F"/>
    <w:rsid w:val="00F5659E"/>
    <w:rsid w:val="00F56C86"/>
    <w:rsid w:val="00F60AFF"/>
    <w:rsid w:val="00F614F6"/>
    <w:rsid w:val="00F6163E"/>
    <w:rsid w:val="00F63AB1"/>
    <w:rsid w:val="00F65650"/>
    <w:rsid w:val="00F6603A"/>
    <w:rsid w:val="00F66A91"/>
    <w:rsid w:val="00F67EAD"/>
    <w:rsid w:val="00F706BB"/>
    <w:rsid w:val="00F707F5"/>
    <w:rsid w:val="00F72F35"/>
    <w:rsid w:val="00F74319"/>
    <w:rsid w:val="00F74645"/>
    <w:rsid w:val="00F748F4"/>
    <w:rsid w:val="00F77A3B"/>
    <w:rsid w:val="00F80F5E"/>
    <w:rsid w:val="00F8190A"/>
    <w:rsid w:val="00F81E15"/>
    <w:rsid w:val="00F81E97"/>
    <w:rsid w:val="00F82514"/>
    <w:rsid w:val="00F82B59"/>
    <w:rsid w:val="00F83749"/>
    <w:rsid w:val="00F8470E"/>
    <w:rsid w:val="00F91694"/>
    <w:rsid w:val="00F91738"/>
    <w:rsid w:val="00F92CB9"/>
    <w:rsid w:val="00F93124"/>
    <w:rsid w:val="00F94CC7"/>
    <w:rsid w:val="00F9509B"/>
    <w:rsid w:val="00F958D6"/>
    <w:rsid w:val="00F95B66"/>
    <w:rsid w:val="00F97D16"/>
    <w:rsid w:val="00F97FCB"/>
    <w:rsid w:val="00FA0716"/>
    <w:rsid w:val="00FA0A28"/>
    <w:rsid w:val="00FA1C33"/>
    <w:rsid w:val="00FA24D0"/>
    <w:rsid w:val="00FA2EC8"/>
    <w:rsid w:val="00FA2F76"/>
    <w:rsid w:val="00FA3151"/>
    <w:rsid w:val="00FA594B"/>
    <w:rsid w:val="00FA6484"/>
    <w:rsid w:val="00FA7C7A"/>
    <w:rsid w:val="00FB4E02"/>
    <w:rsid w:val="00FB53A2"/>
    <w:rsid w:val="00FB5593"/>
    <w:rsid w:val="00FB6799"/>
    <w:rsid w:val="00FB7F8A"/>
    <w:rsid w:val="00FC0DCE"/>
    <w:rsid w:val="00FC13B8"/>
    <w:rsid w:val="00FC1E5B"/>
    <w:rsid w:val="00FC2544"/>
    <w:rsid w:val="00FC2559"/>
    <w:rsid w:val="00FC2C98"/>
    <w:rsid w:val="00FC3303"/>
    <w:rsid w:val="00FC3D8C"/>
    <w:rsid w:val="00FC667F"/>
    <w:rsid w:val="00FC6C3D"/>
    <w:rsid w:val="00FC7578"/>
    <w:rsid w:val="00FD1D4A"/>
    <w:rsid w:val="00FD3D4D"/>
    <w:rsid w:val="00FD4E66"/>
    <w:rsid w:val="00FD5F8B"/>
    <w:rsid w:val="00FD609E"/>
    <w:rsid w:val="00FD60AE"/>
    <w:rsid w:val="00FD6567"/>
    <w:rsid w:val="00FD6A3F"/>
    <w:rsid w:val="00FD7D5F"/>
    <w:rsid w:val="00FE0158"/>
    <w:rsid w:val="00FE0AB5"/>
    <w:rsid w:val="00FE1AA5"/>
    <w:rsid w:val="00FE1B01"/>
    <w:rsid w:val="00FE35BC"/>
    <w:rsid w:val="00FE66F5"/>
    <w:rsid w:val="00FE6783"/>
    <w:rsid w:val="00FE69F9"/>
    <w:rsid w:val="00FF07F4"/>
    <w:rsid w:val="00FF093C"/>
    <w:rsid w:val="00FF3107"/>
    <w:rsid w:val="00FF317A"/>
    <w:rsid w:val="00FF56EB"/>
    <w:rsid w:val="00FF5741"/>
    <w:rsid w:val="00FF61E8"/>
    <w:rsid w:val="00FF6346"/>
    <w:rsid w:val="00FF63D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18"/>
        <w:szCs w:val="18"/>
        <w:lang w:val="en-GB" w:eastAsia="en-US"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2" w:unhideWhenUsed="0" w:qFormat="1"/>
    <w:lsdException w:name="heading 2" w:uiPriority="3" w:unhideWhenUsed="0" w:qFormat="1"/>
    <w:lsdException w:name="heading 3" w:uiPriority="4" w:unhideWhenUsed="0" w:qFormat="1"/>
    <w:lsdException w:name="heading 4" w:uiPriority="5" w:unhideWhenUsed="0"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unhideWhenUsed="0" w:qFormat="1"/>
    <w:lsdException w:name="List Bullet" w:uiPriority="8" w:unhideWhenUsed="0" w:qFormat="1"/>
    <w:lsdException w:name="List Number" w:uiPriority="11" w:unhideWhenUsed="0" w:qFormat="1"/>
    <w:lsdException w:name="List Bullet 2" w:uiPriority="9" w:unhideWhenUsed="0" w:qFormat="1"/>
    <w:lsdException w:name="List Bullet 3" w:uiPriority="10" w:unhideWhenUsed="0" w:qFormat="1"/>
    <w:lsdException w:name="List Number 2" w:uiPriority="12" w:unhideWhenUsed="0" w:qFormat="1"/>
    <w:lsdException w:name="List Number 3" w:uiPriority="13" w:unhideWhenUsed="0" w:qFormat="1"/>
    <w:lsdException w:name="Title" w:semiHidden="0" w:uiPriority="10" w:unhideWhenUsed="0"/>
    <w:lsdException w:name="Default Paragraph Font" w:uiPriority="1"/>
    <w:lsdException w:name="Body Text" w:semiHidden="0" w:uiPriority="0" w:unhideWhenUsed="0" w:qFormat="1"/>
    <w:lsdException w:name="Subtitle" w:semiHidden="0" w:uiPriority="11" w:unhideWhenUsed="0"/>
    <w:lsdException w:name="Hyperlink" w:unhideWhenUsed="0" w:qFormat="1"/>
    <w:lsdException w:name="FollowedHyperlink" w:uiPriority="27" w:unhideWhenUsed="0" w:qFormat="1"/>
    <w:lsdException w:name="Strong" w:semiHidden="0" w:uiPriority="22" w:unhideWhenUsed="0"/>
    <w:lsdException w:name="Emphasis" w:semiHidden="0" w:uiPriority="20" w:unhideWhenUsed="0"/>
    <w:lsdException w:name="Table Grid" w:semiHidden="0" w:uiPriority="59" w:unhideWhenUsed="0"/>
    <w:lsdException w:name="No Spacing" w:uiPriority="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1"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uiPriority w:val="1"/>
    <w:qFormat/>
    <w:rsid w:val="002C2D5C"/>
    <w:pPr>
      <w:spacing w:before="60" w:after="60" w:line="276" w:lineRule="auto"/>
    </w:pPr>
    <w:rPr>
      <w:rFonts w:ascii="Arial" w:eastAsia="Times New Roman" w:hAnsi="Arial" w:cs="Arial"/>
      <w:color w:val="000000"/>
      <w:sz w:val="16"/>
      <w:szCs w:val="22"/>
      <w:lang w:eastAsia="en-GB"/>
    </w:rPr>
  </w:style>
  <w:style w:type="paragraph" w:styleId="Heading1">
    <w:name w:val="heading 1"/>
    <w:basedOn w:val="Normal"/>
    <w:next w:val="BodyText"/>
    <w:link w:val="Heading1Char"/>
    <w:uiPriority w:val="2"/>
    <w:qFormat/>
    <w:rsid w:val="005A1F44"/>
    <w:pPr>
      <w:keepNext/>
      <w:keepLines/>
      <w:numPr>
        <w:numId w:val="20"/>
      </w:numPr>
      <w:spacing w:before="180" w:after="180" w:line="264" w:lineRule="auto"/>
      <w:outlineLvl w:val="0"/>
    </w:pPr>
    <w:rPr>
      <w:rFonts w:asciiTheme="majorHAnsi" w:eastAsiaTheme="majorEastAsia" w:hAnsiTheme="majorHAnsi" w:cstheme="majorBidi"/>
      <w:b/>
      <w:bCs/>
      <w:color w:val="00B5E2" w:themeColor="accent1"/>
      <w:sz w:val="30"/>
      <w:szCs w:val="28"/>
    </w:rPr>
  </w:style>
  <w:style w:type="paragraph" w:styleId="Heading2">
    <w:name w:val="heading 2"/>
    <w:basedOn w:val="Normal"/>
    <w:next w:val="BodyText"/>
    <w:link w:val="Heading2Char"/>
    <w:uiPriority w:val="3"/>
    <w:qFormat/>
    <w:rsid w:val="005A1F44"/>
    <w:pPr>
      <w:keepNext/>
      <w:keepLines/>
      <w:numPr>
        <w:ilvl w:val="1"/>
        <w:numId w:val="20"/>
      </w:numPr>
      <w:spacing w:before="240" w:after="180" w:line="264" w:lineRule="auto"/>
      <w:outlineLvl w:val="1"/>
    </w:pPr>
    <w:rPr>
      <w:rFonts w:asciiTheme="majorHAnsi" w:eastAsiaTheme="majorEastAsia" w:hAnsiTheme="majorHAnsi" w:cstheme="majorBidi"/>
      <w:bCs/>
      <w:color w:val="00B5E2" w:themeColor="accent1"/>
      <w:sz w:val="26"/>
      <w:szCs w:val="26"/>
    </w:rPr>
  </w:style>
  <w:style w:type="paragraph" w:styleId="Heading3">
    <w:name w:val="heading 3"/>
    <w:basedOn w:val="Normal"/>
    <w:next w:val="BodyText"/>
    <w:link w:val="Heading3Char"/>
    <w:uiPriority w:val="4"/>
    <w:qFormat/>
    <w:rsid w:val="005A1F44"/>
    <w:pPr>
      <w:keepNext/>
      <w:keepLines/>
      <w:numPr>
        <w:ilvl w:val="2"/>
        <w:numId w:val="20"/>
      </w:numPr>
      <w:spacing w:before="240" w:after="180" w:line="264" w:lineRule="auto"/>
      <w:outlineLvl w:val="2"/>
    </w:pPr>
    <w:rPr>
      <w:rFonts w:asciiTheme="majorHAnsi" w:eastAsiaTheme="majorEastAsia" w:hAnsiTheme="majorHAnsi" w:cstheme="majorBidi"/>
      <w:bCs/>
      <w:color w:val="00B5E2" w:themeColor="accent1"/>
      <w:sz w:val="22"/>
    </w:rPr>
  </w:style>
  <w:style w:type="paragraph" w:styleId="Heading4">
    <w:name w:val="heading 4"/>
    <w:basedOn w:val="Normal"/>
    <w:next w:val="BodyText"/>
    <w:link w:val="Heading4Char"/>
    <w:uiPriority w:val="5"/>
    <w:qFormat/>
    <w:rsid w:val="005A1F44"/>
    <w:pPr>
      <w:keepNext/>
      <w:keepLines/>
      <w:numPr>
        <w:ilvl w:val="3"/>
        <w:numId w:val="20"/>
      </w:numPr>
      <w:spacing w:before="240" w:after="180" w:line="264" w:lineRule="auto"/>
      <w:outlineLvl w:val="3"/>
    </w:pPr>
    <w:rPr>
      <w:rFonts w:asciiTheme="majorHAnsi" w:eastAsiaTheme="majorEastAsia" w:hAnsiTheme="majorHAnsi" w:cstheme="majorBidi"/>
      <w:bCs/>
      <w:iCs/>
    </w:rPr>
  </w:style>
  <w:style w:type="paragraph" w:styleId="Heading5">
    <w:name w:val="heading 5"/>
    <w:basedOn w:val="Normal"/>
    <w:next w:val="BodyText"/>
    <w:link w:val="Heading5Char"/>
    <w:uiPriority w:val="9"/>
    <w:semiHidden/>
    <w:unhideWhenUsed/>
    <w:rsid w:val="002770A0"/>
    <w:pPr>
      <w:keepNext/>
      <w:keepLines/>
      <w:numPr>
        <w:ilvl w:val="4"/>
        <w:numId w:val="9"/>
      </w:numPr>
      <w:spacing w:before="120"/>
      <w:outlineLvl w:val="4"/>
    </w:pPr>
    <w:rPr>
      <w:rFonts w:asciiTheme="majorHAnsi" w:eastAsiaTheme="majorEastAsia" w:hAnsiTheme="majorHAnsi" w:cstheme="majorBidi"/>
      <w:b/>
      <w:color w:val="00B5E2" w:themeColor="accent1"/>
    </w:rPr>
  </w:style>
  <w:style w:type="paragraph" w:styleId="Heading6">
    <w:name w:val="heading 6"/>
    <w:basedOn w:val="Normal"/>
    <w:next w:val="Normal"/>
    <w:link w:val="Heading6Char"/>
    <w:uiPriority w:val="9"/>
    <w:unhideWhenUsed/>
    <w:qFormat/>
    <w:rsid w:val="00582989"/>
    <w:pPr>
      <w:keepNext/>
      <w:keepLines/>
      <w:numPr>
        <w:ilvl w:val="5"/>
        <w:numId w:val="20"/>
      </w:numPr>
      <w:spacing w:before="200"/>
      <w:outlineLvl w:val="5"/>
    </w:pPr>
    <w:rPr>
      <w:rFonts w:asciiTheme="majorHAnsi" w:eastAsiaTheme="majorEastAsia" w:hAnsiTheme="majorHAnsi" w:cstheme="majorBidi"/>
      <w:i/>
      <w:iCs/>
      <w:color w:val="005970" w:themeColor="accent1" w:themeShade="7F"/>
    </w:rPr>
  </w:style>
  <w:style w:type="paragraph" w:styleId="Heading7">
    <w:name w:val="heading 7"/>
    <w:basedOn w:val="Normal"/>
    <w:next w:val="Normal"/>
    <w:link w:val="Heading7Char"/>
    <w:uiPriority w:val="9"/>
    <w:unhideWhenUsed/>
    <w:qFormat/>
    <w:rsid w:val="00582989"/>
    <w:pPr>
      <w:keepNext/>
      <w:keepLines/>
      <w:numPr>
        <w:ilvl w:val="6"/>
        <w:numId w:val="20"/>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582989"/>
    <w:pPr>
      <w:keepNext/>
      <w:keepLines/>
      <w:numPr>
        <w:ilvl w:val="7"/>
        <w:numId w:val="20"/>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582989"/>
    <w:pPr>
      <w:keepNext/>
      <w:keepLines/>
      <w:numPr>
        <w:ilvl w:val="8"/>
        <w:numId w:val="20"/>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5A1F44"/>
    <w:rPr>
      <w:rFonts w:asciiTheme="majorHAnsi" w:eastAsiaTheme="majorEastAsia" w:hAnsiTheme="majorHAnsi" w:cstheme="majorBidi"/>
      <w:b/>
      <w:bCs/>
      <w:color w:val="00B5E2" w:themeColor="accent1"/>
      <w:sz w:val="30"/>
      <w:szCs w:val="28"/>
      <w:lang w:eastAsia="en-GB"/>
    </w:rPr>
  </w:style>
  <w:style w:type="character" w:customStyle="1" w:styleId="Heading2Char">
    <w:name w:val="Heading 2 Char"/>
    <w:basedOn w:val="DefaultParagraphFont"/>
    <w:link w:val="Heading2"/>
    <w:uiPriority w:val="3"/>
    <w:rsid w:val="005A1F44"/>
    <w:rPr>
      <w:rFonts w:asciiTheme="majorHAnsi" w:eastAsiaTheme="majorEastAsia" w:hAnsiTheme="majorHAnsi" w:cstheme="majorBidi"/>
      <w:bCs/>
      <w:color w:val="00B5E2" w:themeColor="accent1"/>
      <w:sz w:val="26"/>
      <w:szCs w:val="26"/>
      <w:lang w:eastAsia="en-GB"/>
    </w:rPr>
  </w:style>
  <w:style w:type="character" w:customStyle="1" w:styleId="Heading3Char">
    <w:name w:val="Heading 3 Char"/>
    <w:basedOn w:val="DefaultParagraphFont"/>
    <w:link w:val="Heading3"/>
    <w:uiPriority w:val="4"/>
    <w:rsid w:val="005A1F44"/>
    <w:rPr>
      <w:rFonts w:asciiTheme="majorHAnsi" w:eastAsiaTheme="majorEastAsia" w:hAnsiTheme="majorHAnsi" w:cstheme="majorBidi"/>
      <w:bCs/>
      <w:color w:val="00B5E2" w:themeColor="accent1"/>
      <w:sz w:val="22"/>
      <w:szCs w:val="22"/>
      <w:lang w:eastAsia="en-GB"/>
    </w:rPr>
  </w:style>
  <w:style w:type="paragraph" w:styleId="ListNumber">
    <w:name w:val="List Number"/>
    <w:basedOn w:val="Normal"/>
    <w:uiPriority w:val="11"/>
    <w:qFormat/>
    <w:rsid w:val="00886112"/>
    <w:pPr>
      <w:numPr>
        <w:numId w:val="15"/>
      </w:numPr>
      <w:spacing w:after="120"/>
    </w:pPr>
    <w:rPr>
      <w:lang w:val="en-US"/>
    </w:rPr>
  </w:style>
  <w:style w:type="paragraph" w:styleId="ListNumber2">
    <w:name w:val="List Number 2"/>
    <w:basedOn w:val="Normal"/>
    <w:uiPriority w:val="12"/>
    <w:qFormat/>
    <w:rsid w:val="00790710"/>
    <w:pPr>
      <w:numPr>
        <w:ilvl w:val="1"/>
        <w:numId w:val="15"/>
      </w:numPr>
      <w:spacing w:after="120"/>
    </w:pPr>
  </w:style>
  <w:style w:type="paragraph" w:styleId="ListNumber3">
    <w:name w:val="List Number 3"/>
    <w:basedOn w:val="Normal"/>
    <w:uiPriority w:val="13"/>
    <w:qFormat/>
    <w:rsid w:val="00790710"/>
    <w:pPr>
      <w:numPr>
        <w:ilvl w:val="2"/>
        <w:numId w:val="15"/>
      </w:numPr>
      <w:spacing w:after="120"/>
    </w:pPr>
  </w:style>
  <w:style w:type="paragraph" w:styleId="ListBullet">
    <w:name w:val="List Bullet"/>
    <w:basedOn w:val="Normal"/>
    <w:uiPriority w:val="8"/>
    <w:qFormat/>
    <w:rsid w:val="00790710"/>
    <w:pPr>
      <w:numPr>
        <w:numId w:val="14"/>
      </w:numPr>
      <w:spacing w:after="120"/>
    </w:pPr>
  </w:style>
  <w:style w:type="paragraph" w:styleId="ListBullet2">
    <w:name w:val="List Bullet 2"/>
    <w:basedOn w:val="Normal"/>
    <w:uiPriority w:val="9"/>
    <w:qFormat/>
    <w:rsid w:val="00790710"/>
    <w:pPr>
      <w:numPr>
        <w:ilvl w:val="1"/>
        <w:numId w:val="14"/>
      </w:numPr>
      <w:spacing w:after="120"/>
    </w:pPr>
  </w:style>
  <w:style w:type="paragraph" w:styleId="ListBullet3">
    <w:name w:val="List Bullet 3"/>
    <w:basedOn w:val="Normal"/>
    <w:uiPriority w:val="10"/>
    <w:qFormat/>
    <w:rsid w:val="00790710"/>
    <w:pPr>
      <w:numPr>
        <w:ilvl w:val="2"/>
        <w:numId w:val="14"/>
      </w:numPr>
      <w:spacing w:after="120"/>
    </w:pPr>
  </w:style>
  <w:style w:type="character" w:customStyle="1" w:styleId="Heading4Char">
    <w:name w:val="Heading 4 Char"/>
    <w:basedOn w:val="DefaultParagraphFont"/>
    <w:link w:val="Heading4"/>
    <w:uiPriority w:val="5"/>
    <w:rsid w:val="005A1F44"/>
    <w:rPr>
      <w:rFonts w:asciiTheme="majorHAnsi" w:eastAsiaTheme="majorEastAsia" w:hAnsiTheme="majorHAnsi" w:cstheme="majorBidi"/>
      <w:bCs/>
      <w:iCs/>
      <w:color w:val="000000"/>
      <w:sz w:val="16"/>
      <w:szCs w:val="22"/>
      <w:lang w:eastAsia="en-GB"/>
    </w:rPr>
  </w:style>
  <w:style w:type="numbering" w:customStyle="1" w:styleId="AECOMBullets">
    <w:name w:val="AECOM_Bullets"/>
    <w:basedOn w:val="NoList"/>
    <w:uiPriority w:val="99"/>
    <w:semiHidden/>
    <w:unhideWhenUsed/>
    <w:rsid w:val="00C86409"/>
    <w:pPr>
      <w:numPr>
        <w:numId w:val="1"/>
      </w:numPr>
    </w:pPr>
  </w:style>
  <w:style w:type="character" w:customStyle="1" w:styleId="Heading5Char">
    <w:name w:val="Heading 5 Char"/>
    <w:basedOn w:val="DefaultParagraphFont"/>
    <w:link w:val="Heading5"/>
    <w:uiPriority w:val="9"/>
    <w:semiHidden/>
    <w:rsid w:val="00F66A91"/>
    <w:rPr>
      <w:rFonts w:asciiTheme="majorHAnsi" w:eastAsiaTheme="majorEastAsia" w:hAnsiTheme="majorHAnsi" w:cstheme="majorBidi"/>
      <w:b/>
      <w:color w:val="00B5E2" w:themeColor="accent1"/>
      <w:sz w:val="16"/>
      <w:szCs w:val="22"/>
      <w:lang w:eastAsia="en-GB"/>
    </w:rPr>
  </w:style>
  <w:style w:type="paragraph" w:styleId="BodyText">
    <w:name w:val="Body Text"/>
    <w:basedOn w:val="Normal"/>
    <w:link w:val="BodyTextChar"/>
    <w:qFormat/>
    <w:rsid w:val="00676FE6"/>
    <w:pPr>
      <w:spacing w:after="180"/>
    </w:pPr>
  </w:style>
  <w:style w:type="numbering" w:customStyle="1" w:styleId="AECOMList">
    <w:name w:val="AECOM_List"/>
    <w:basedOn w:val="NoList"/>
    <w:uiPriority w:val="99"/>
    <w:semiHidden/>
    <w:unhideWhenUsed/>
    <w:rsid w:val="00323654"/>
    <w:pPr>
      <w:numPr>
        <w:numId w:val="2"/>
      </w:numPr>
    </w:pPr>
  </w:style>
  <w:style w:type="character" w:customStyle="1" w:styleId="BodyTextChar">
    <w:name w:val="Body Text Char"/>
    <w:basedOn w:val="DefaultParagraphFont"/>
    <w:link w:val="BodyText"/>
    <w:rsid w:val="00F66A91"/>
    <w:rPr>
      <w:kern w:val="18"/>
    </w:rPr>
  </w:style>
  <w:style w:type="paragraph" w:customStyle="1" w:styleId="CoverTitle">
    <w:name w:val="Cover Title"/>
    <w:basedOn w:val="Normal"/>
    <w:next w:val="BodyText"/>
    <w:semiHidden/>
    <w:unhideWhenUsed/>
    <w:rsid w:val="00DD3356"/>
    <w:pPr>
      <w:spacing w:before="360" w:after="360" w:line="900" w:lineRule="atLeast"/>
    </w:pPr>
    <w:rPr>
      <w:rFonts w:asciiTheme="majorHAnsi" w:hAnsiTheme="majorHAnsi"/>
      <w:b/>
      <w:color w:val="00B5E2" w:themeColor="accent1"/>
      <w:sz w:val="80"/>
    </w:rPr>
  </w:style>
  <w:style w:type="paragraph" w:customStyle="1" w:styleId="SectionTitle">
    <w:name w:val="Section Title"/>
    <w:basedOn w:val="BodyText"/>
    <w:next w:val="BodyText"/>
    <w:semiHidden/>
    <w:unhideWhenUsed/>
    <w:rsid w:val="00D129FA"/>
    <w:pPr>
      <w:spacing w:before="360" w:after="360" w:line="660" w:lineRule="atLeast"/>
      <w:jc w:val="right"/>
    </w:pPr>
    <w:rPr>
      <w:rFonts w:asciiTheme="majorHAnsi" w:hAnsiTheme="majorHAnsi"/>
      <w:color w:val="FFFFFF" w:themeColor="background1"/>
      <w:sz w:val="60"/>
    </w:rPr>
  </w:style>
  <w:style w:type="paragraph" w:customStyle="1" w:styleId="DividerSectionNumber">
    <w:name w:val="Divider Section Number"/>
    <w:basedOn w:val="BodyText"/>
    <w:next w:val="BodyText"/>
    <w:semiHidden/>
    <w:unhideWhenUsed/>
    <w:rsid w:val="00B55307"/>
    <w:pPr>
      <w:spacing w:before="360" w:after="360" w:line="2400" w:lineRule="atLeast"/>
      <w:jc w:val="right"/>
    </w:pPr>
    <w:rPr>
      <w:rFonts w:asciiTheme="majorHAnsi" w:hAnsiTheme="majorHAnsi"/>
      <w:color w:val="FFFFFF" w:themeColor="background1"/>
      <w:sz w:val="200"/>
    </w:rPr>
  </w:style>
  <w:style w:type="paragraph" w:customStyle="1" w:styleId="DividerSectionNumberSmall">
    <w:name w:val="Divider Section Number (Small)"/>
    <w:basedOn w:val="Normal"/>
    <w:next w:val="BodyText"/>
    <w:semiHidden/>
    <w:unhideWhenUsed/>
    <w:rsid w:val="00DD3356"/>
    <w:pPr>
      <w:spacing w:before="360" w:after="360" w:line="1440" w:lineRule="atLeast"/>
      <w:jc w:val="right"/>
    </w:pPr>
    <w:rPr>
      <w:rFonts w:asciiTheme="majorHAnsi" w:hAnsiTheme="majorHAnsi"/>
      <w:b/>
      <w:color w:val="00B5E2" w:themeColor="accent1"/>
      <w:sz w:val="120"/>
    </w:rPr>
  </w:style>
  <w:style w:type="table" w:styleId="TableGrid">
    <w:name w:val="Table Grid"/>
    <w:basedOn w:val="TableNormal"/>
    <w:uiPriority w:val="59"/>
    <w:unhideWhenUsed/>
    <w:rsid w:val="00364FD7"/>
    <w:rPr>
      <w:sz w:val="1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
    <w:tblStylePr w:type="firstRow">
      <w:rPr>
        <w:rFonts w:asciiTheme="majorHAnsi" w:hAnsiTheme="majorHAnsi"/>
        <w:b w:val="0"/>
      </w:rPr>
    </w:tblStylePr>
  </w:style>
  <w:style w:type="table" w:customStyle="1" w:styleId="AECOMtable">
    <w:name w:val="AECOM table"/>
    <w:basedOn w:val="TableNormal"/>
    <w:uiPriority w:val="99"/>
    <w:unhideWhenUsed/>
    <w:rsid w:val="003A3279"/>
    <w:rPr>
      <w:sz w:val="16"/>
    </w:rPr>
    <w:tblPr>
      <w:tblInd w:w="0" w:type="dxa"/>
      <w:tblBorders>
        <w:insideH w:val="single" w:sz="4" w:space="0" w:color="auto"/>
      </w:tblBorders>
      <w:tblCellMar>
        <w:top w:w="28" w:type="dxa"/>
        <w:left w:w="0" w:type="dxa"/>
        <w:bottom w:w="28" w:type="dxa"/>
        <w:right w:w="113" w:type="dxa"/>
      </w:tblCellMar>
    </w:tblPr>
    <w:tblStylePr w:type="firstRow">
      <w:rPr>
        <w:rFonts w:asciiTheme="majorHAnsi" w:hAnsiTheme="majorHAnsi"/>
        <w:b/>
        <w:color w:val="00B5E2" w:themeColor="accent1"/>
        <w:sz w:val="16"/>
      </w:rPr>
      <w:tblPr/>
      <w:tcPr>
        <w:tcBorders>
          <w:top w:val="nil"/>
          <w:left w:val="nil"/>
          <w:bottom w:val="single" w:sz="12" w:space="0" w:color="00B5E2" w:themeColor="accent1"/>
          <w:right w:val="nil"/>
          <w:insideH w:val="nil"/>
          <w:insideV w:val="nil"/>
          <w:tl2br w:val="nil"/>
          <w:tr2bl w:val="nil"/>
        </w:tcBorders>
      </w:tcPr>
    </w:tblStylePr>
  </w:style>
  <w:style w:type="paragraph" w:styleId="Caption">
    <w:name w:val="caption"/>
    <w:basedOn w:val="Normal"/>
    <w:next w:val="BodyText"/>
    <w:uiPriority w:val="35"/>
    <w:qFormat/>
    <w:rsid w:val="00886112"/>
    <w:pPr>
      <w:keepNext/>
      <w:spacing w:after="120"/>
      <w:ind w:left="425"/>
    </w:pPr>
    <w:rPr>
      <w:rFonts w:asciiTheme="majorHAnsi" w:hAnsiTheme="majorHAnsi"/>
      <w:b/>
      <w:bCs/>
      <w:color w:val="00B5E2" w:themeColor="accent1"/>
      <w:sz w:val="20"/>
    </w:rPr>
  </w:style>
  <w:style w:type="paragraph" w:customStyle="1" w:styleId="Source">
    <w:name w:val="Source"/>
    <w:basedOn w:val="Normal"/>
    <w:link w:val="SourceChar"/>
    <w:qFormat/>
    <w:rsid w:val="00886112"/>
    <w:pPr>
      <w:spacing w:after="120"/>
      <w:ind w:left="425"/>
    </w:pPr>
    <w:rPr>
      <w:i/>
      <w:lang w:val="en-US"/>
    </w:rPr>
  </w:style>
  <w:style w:type="paragraph" w:styleId="FootnoteText">
    <w:name w:val="footnote text"/>
    <w:basedOn w:val="Normal"/>
    <w:link w:val="FootnoteTextChar"/>
    <w:uiPriority w:val="99"/>
    <w:unhideWhenUsed/>
    <w:rsid w:val="00253171"/>
    <w:pPr>
      <w:spacing w:line="240" w:lineRule="auto"/>
    </w:pPr>
    <w:rPr>
      <w:szCs w:val="20"/>
    </w:rPr>
  </w:style>
  <w:style w:type="character" w:customStyle="1" w:styleId="FootnoteTextChar">
    <w:name w:val="Footnote Text Char"/>
    <w:basedOn w:val="DefaultParagraphFont"/>
    <w:link w:val="FootnoteText"/>
    <w:uiPriority w:val="99"/>
    <w:rsid w:val="00F66A91"/>
    <w:rPr>
      <w:kern w:val="18"/>
      <w:sz w:val="16"/>
      <w:szCs w:val="20"/>
    </w:rPr>
  </w:style>
  <w:style w:type="character" w:styleId="FootnoteReference">
    <w:name w:val="footnote reference"/>
    <w:basedOn w:val="DefaultParagraphFont"/>
    <w:uiPriority w:val="99"/>
    <w:unhideWhenUsed/>
    <w:rsid w:val="00F27E4A"/>
    <w:rPr>
      <w:rFonts w:asciiTheme="majorHAnsi" w:hAnsiTheme="majorHAnsi"/>
      <w:color w:val="auto"/>
      <w:vertAlign w:val="superscript"/>
    </w:rPr>
  </w:style>
  <w:style w:type="paragraph" w:customStyle="1" w:styleId="Appendix">
    <w:name w:val="Appendix"/>
    <w:basedOn w:val="Heading1"/>
    <w:next w:val="BodyText"/>
    <w:uiPriority w:val="6"/>
    <w:qFormat/>
    <w:rsid w:val="005A1F44"/>
    <w:pPr>
      <w:pageBreakBefore/>
      <w:numPr>
        <w:numId w:val="21"/>
      </w:numPr>
    </w:pPr>
  </w:style>
  <w:style w:type="character" w:styleId="Hyperlink">
    <w:name w:val="Hyperlink"/>
    <w:basedOn w:val="DefaultParagraphFont"/>
    <w:uiPriority w:val="99"/>
    <w:qFormat/>
    <w:rsid w:val="00F15F1A"/>
    <w:rPr>
      <w:color w:val="00B5E2" w:themeColor="accent1"/>
      <w:u w:val="single"/>
    </w:rPr>
  </w:style>
  <w:style w:type="character" w:styleId="FollowedHyperlink">
    <w:name w:val="FollowedHyperlink"/>
    <w:basedOn w:val="DefaultParagraphFont"/>
    <w:uiPriority w:val="27"/>
    <w:qFormat/>
    <w:rsid w:val="00F15F1A"/>
    <w:rPr>
      <w:color w:val="84BD00" w:themeColor="accent2"/>
      <w:u w:val="single"/>
    </w:rPr>
  </w:style>
  <w:style w:type="table" w:styleId="ColorfulGrid">
    <w:name w:val="Colorful Grid"/>
    <w:basedOn w:val="TableNormal"/>
    <w:uiPriority w:val="73"/>
    <w:semiHidden/>
    <w:unhideWhenUsed/>
    <w:rsid w:val="009E6ED7"/>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9E6ED7"/>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6F3FF" w:themeFill="accent1" w:themeFillTint="33"/>
    </w:tcPr>
    <w:tblStylePr w:type="firstRow">
      <w:rPr>
        <w:b/>
        <w:bCs/>
      </w:rPr>
      <w:tblPr/>
      <w:tcPr>
        <w:shd w:val="clear" w:color="auto" w:fill="8DE8FF" w:themeFill="accent1" w:themeFillTint="66"/>
      </w:tcPr>
    </w:tblStylePr>
    <w:tblStylePr w:type="lastRow">
      <w:rPr>
        <w:b/>
        <w:bCs/>
        <w:color w:val="000000" w:themeColor="text1"/>
      </w:rPr>
      <w:tblPr/>
      <w:tcPr>
        <w:shd w:val="clear" w:color="auto" w:fill="8DE8FF" w:themeFill="accent1" w:themeFillTint="66"/>
      </w:tcPr>
    </w:tblStylePr>
    <w:tblStylePr w:type="firstCol">
      <w:rPr>
        <w:color w:val="FFFFFF" w:themeColor="background1"/>
      </w:rPr>
      <w:tblPr/>
      <w:tcPr>
        <w:shd w:val="clear" w:color="auto" w:fill="0087A9" w:themeFill="accent1" w:themeFillShade="BF"/>
      </w:tcPr>
    </w:tblStylePr>
    <w:tblStylePr w:type="lastCol">
      <w:rPr>
        <w:color w:val="FFFFFF" w:themeColor="background1"/>
      </w:rPr>
      <w:tblPr/>
      <w:tcPr>
        <w:shd w:val="clear" w:color="auto" w:fill="0087A9" w:themeFill="accent1" w:themeFillShade="BF"/>
      </w:tcPr>
    </w:tblStylePr>
    <w:tblStylePr w:type="band1Vert">
      <w:tblPr/>
      <w:tcPr>
        <w:shd w:val="clear" w:color="auto" w:fill="71E2FF" w:themeFill="accent1" w:themeFillTint="7F"/>
      </w:tcPr>
    </w:tblStylePr>
    <w:tblStylePr w:type="band1Horz">
      <w:tblPr/>
      <w:tcPr>
        <w:shd w:val="clear" w:color="auto" w:fill="71E2FF" w:themeFill="accent1" w:themeFillTint="7F"/>
      </w:tcPr>
    </w:tblStylePr>
  </w:style>
  <w:style w:type="table" w:styleId="ColorfulGrid-Accent2">
    <w:name w:val="Colorful Grid Accent 2"/>
    <w:basedOn w:val="TableNormal"/>
    <w:uiPriority w:val="73"/>
    <w:semiHidden/>
    <w:unhideWhenUsed/>
    <w:rsid w:val="009E6ED7"/>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BFFBE" w:themeFill="accent2" w:themeFillTint="33"/>
    </w:tcPr>
    <w:tblStylePr w:type="firstRow">
      <w:rPr>
        <w:b/>
        <w:bCs/>
      </w:rPr>
      <w:tblPr/>
      <w:tcPr>
        <w:shd w:val="clear" w:color="auto" w:fill="D8FF7E" w:themeFill="accent2" w:themeFillTint="66"/>
      </w:tcPr>
    </w:tblStylePr>
    <w:tblStylePr w:type="lastRow">
      <w:rPr>
        <w:b/>
        <w:bCs/>
        <w:color w:val="000000" w:themeColor="text1"/>
      </w:rPr>
      <w:tblPr/>
      <w:tcPr>
        <w:shd w:val="clear" w:color="auto" w:fill="D8FF7E" w:themeFill="accent2" w:themeFillTint="66"/>
      </w:tcPr>
    </w:tblStylePr>
    <w:tblStylePr w:type="firstCol">
      <w:rPr>
        <w:color w:val="FFFFFF" w:themeColor="background1"/>
      </w:rPr>
      <w:tblPr/>
      <w:tcPr>
        <w:shd w:val="clear" w:color="auto" w:fill="628D00" w:themeFill="accent2" w:themeFillShade="BF"/>
      </w:tcPr>
    </w:tblStylePr>
    <w:tblStylePr w:type="lastCol">
      <w:rPr>
        <w:color w:val="FFFFFF" w:themeColor="background1"/>
      </w:rPr>
      <w:tblPr/>
      <w:tcPr>
        <w:shd w:val="clear" w:color="auto" w:fill="628D00" w:themeFill="accent2" w:themeFillShade="BF"/>
      </w:tcPr>
    </w:tblStylePr>
    <w:tblStylePr w:type="band1Vert">
      <w:tblPr/>
      <w:tcPr>
        <w:shd w:val="clear" w:color="auto" w:fill="CEFF5F" w:themeFill="accent2" w:themeFillTint="7F"/>
      </w:tcPr>
    </w:tblStylePr>
    <w:tblStylePr w:type="band1Horz">
      <w:tblPr/>
      <w:tcPr>
        <w:shd w:val="clear" w:color="auto" w:fill="CEFF5F" w:themeFill="accent2" w:themeFillTint="7F"/>
      </w:tcPr>
    </w:tblStylePr>
  </w:style>
  <w:style w:type="table" w:styleId="ColorfulGrid-Accent3">
    <w:name w:val="Colorful Grid Accent 3"/>
    <w:basedOn w:val="TableNormal"/>
    <w:uiPriority w:val="73"/>
    <w:semiHidden/>
    <w:unhideWhenUsed/>
    <w:rsid w:val="009E6ED7"/>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7D2" w:themeFill="accent3" w:themeFillTint="33"/>
    </w:tcPr>
    <w:tblStylePr w:type="firstRow">
      <w:rPr>
        <w:b/>
        <w:bCs/>
      </w:rPr>
      <w:tblPr/>
      <w:tcPr>
        <w:shd w:val="clear" w:color="auto" w:fill="FBD0A5" w:themeFill="accent3" w:themeFillTint="66"/>
      </w:tcPr>
    </w:tblStylePr>
    <w:tblStylePr w:type="lastRow">
      <w:rPr>
        <w:b/>
        <w:bCs/>
        <w:color w:val="000000" w:themeColor="text1"/>
      </w:rPr>
      <w:tblPr/>
      <w:tcPr>
        <w:shd w:val="clear" w:color="auto" w:fill="FBD0A5" w:themeFill="accent3" w:themeFillTint="66"/>
      </w:tcPr>
    </w:tblStylePr>
    <w:tblStylePr w:type="firstCol">
      <w:rPr>
        <w:color w:val="FFFFFF" w:themeColor="background1"/>
      </w:rPr>
      <w:tblPr/>
      <w:tcPr>
        <w:shd w:val="clear" w:color="auto" w:fill="C76808" w:themeFill="accent3" w:themeFillShade="BF"/>
      </w:tcPr>
    </w:tblStylePr>
    <w:tblStylePr w:type="lastCol">
      <w:rPr>
        <w:color w:val="FFFFFF" w:themeColor="background1"/>
      </w:rPr>
      <w:tblPr/>
      <w:tcPr>
        <w:shd w:val="clear" w:color="auto" w:fill="C76808" w:themeFill="accent3" w:themeFillShade="BF"/>
      </w:tcPr>
    </w:tblStylePr>
    <w:tblStylePr w:type="band1Vert">
      <w:tblPr/>
      <w:tcPr>
        <w:shd w:val="clear" w:color="auto" w:fill="FAC58F" w:themeFill="accent3" w:themeFillTint="7F"/>
      </w:tcPr>
    </w:tblStylePr>
    <w:tblStylePr w:type="band1Horz">
      <w:tblPr/>
      <w:tcPr>
        <w:shd w:val="clear" w:color="auto" w:fill="FAC58F" w:themeFill="accent3" w:themeFillTint="7F"/>
      </w:tcPr>
    </w:tblStylePr>
  </w:style>
  <w:style w:type="table" w:styleId="ColorfulGrid-Accent4">
    <w:name w:val="Colorful Grid Accent 4"/>
    <w:basedOn w:val="TableNormal"/>
    <w:uiPriority w:val="73"/>
    <w:semiHidden/>
    <w:unhideWhenUsed/>
    <w:rsid w:val="009E6ED7"/>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FB8F0" w:themeFill="accent4" w:themeFillTint="33"/>
    </w:tcPr>
    <w:tblStylePr w:type="firstRow">
      <w:rPr>
        <w:b/>
        <w:bCs/>
      </w:rPr>
      <w:tblPr/>
      <w:tcPr>
        <w:shd w:val="clear" w:color="auto" w:fill="FF72E2" w:themeFill="accent4" w:themeFillTint="66"/>
      </w:tcPr>
    </w:tblStylePr>
    <w:tblStylePr w:type="lastRow">
      <w:rPr>
        <w:b/>
        <w:bCs/>
        <w:color w:val="000000" w:themeColor="text1"/>
      </w:rPr>
      <w:tblPr/>
      <w:tcPr>
        <w:shd w:val="clear" w:color="auto" w:fill="FF72E2" w:themeFill="accent4" w:themeFillTint="66"/>
      </w:tcPr>
    </w:tblStylePr>
    <w:tblStylePr w:type="firstCol">
      <w:rPr>
        <w:color w:val="FFFFFF" w:themeColor="background1"/>
      </w:rPr>
      <w:tblPr/>
      <w:tcPr>
        <w:shd w:val="clear" w:color="auto" w:fill="76005E" w:themeFill="accent4" w:themeFillShade="BF"/>
      </w:tcPr>
    </w:tblStylePr>
    <w:tblStylePr w:type="lastCol">
      <w:rPr>
        <w:color w:val="FFFFFF" w:themeColor="background1"/>
      </w:rPr>
      <w:tblPr/>
      <w:tcPr>
        <w:shd w:val="clear" w:color="auto" w:fill="76005E" w:themeFill="accent4" w:themeFillShade="BF"/>
      </w:tcPr>
    </w:tblStylePr>
    <w:tblStylePr w:type="band1Vert">
      <w:tblPr/>
      <w:tcPr>
        <w:shd w:val="clear" w:color="auto" w:fill="FF4FDB" w:themeFill="accent4" w:themeFillTint="7F"/>
      </w:tcPr>
    </w:tblStylePr>
    <w:tblStylePr w:type="band1Horz">
      <w:tblPr/>
      <w:tcPr>
        <w:shd w:val="clear" w:color="auto" w:fill="FF4FDB" w:themeFill="accent4" w:themeFillTint="7F"/>
      </w:tcPr>
    </w:tblStylePr>
  </w:style>
  <w:style w:type="table" w:styleId="ColorfulGrid-Accent5">
    <w:name w:val="Colorful Grid Accent 5"/>
    <w:basedOn w:val="TableNormal"/>
    <w:uiPriority w:val="73"/>
    <w:semiHidden/>
    <w:unhideWhenUsed/>
    <w:rsid w:val="009E6ED7"/>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FF9CF" w:themeFill="accent5" w:themeFillTint="33"/>
    </w:tcPr>
    <w:tblStylePr w:type="firstRow">
      <w:rPr>
        <w:b/>
        <w:bCs/>
      </w:rPr>
      <w:tblPr/>
      <w:tcPr>
        <w:shd w:val="clear" w:color="auto" w:fill="FFF4A0" w:themeFill="accent5" w:themeFillTint="66"/>
      </w:tcPr>
    </w:tblStylePr>
    <w:tblStylePr w:type="lastRow">
      <w:rPr>
        <w:b/>
        <w:bCs/>
        <w:color w:val="000000" w:themeColor="text1"/>
      </w:rPr>
      <w:tblPr/>
      <w:tcPr>
        <w:shd w:val="clear" w:color="auto" w:fill="FFF4A0" w:themeFill="accent5" w:themeFillTint="66"/>
      </w:tcPr>
    </w:tblStylePr>
    <w:tblStylePr w:type="firstCol">
      <w:rPr>
        <w:color w:val="FFFFFF" w:themeColor="background1"/>
      </w:rPr>
      <w:tblPr/>
      <w:tcPr>
        <w:shd w:val="clear" w:color="auto" w:fill="CCB500" w:themeFill="accent5" w:themeFillShade="BF"/>
      </w:tcPr>
    </w:tblStylePr>
    <w:tblStylePr w:type="lastCol">
      <w:rPr>
        <w:color w:val="FFFFFF" w:themeColor="background1"/>
      </w:rPr>
      <w:tblPr/>
      <w:tcPr>
        <w:shd w:val="clear" w:color="auto" w:fill="CCB500" w:themeFill="accent5" w:themeFillShade="BF"/>
      </w:tcPr>
    </w:tblStylePr>
    <w:tblStylePr w:type="band1Vert">
      <w:tblPr/>
      <w:tcPr>
        <w:shd w:val="clear" w:color="auto" w:fill="FFF288" w:themeFill="accent5" w:themeFillTint="7F"/>
      </w:tcPr>
    </w:tblStylePr>
    <w:tblStylePr w:type="band1Horz">
      <w:tblPr/>
      <w:tcPr>
        <w:shd w:val="clear" w:color="auto" w:fill="FFF288" w:themeFill="accent5" w:themeFillTint="7F"/>
      </w:tcPr>
    </w:tblStylePr>
  </w:style>
  <w:style w:type="table" w:styleId="ColorfulGrid-Accent6">
    <w:name w:val="Colorful Grid Accent 6"/>
    <w:basedOn w:val="TableNormal"/>
    <w:uiPriority w:val="73"/>
    <w:semiHidden/>
    <w:unhideWhenUsed/>
    <w:rsid w:val="009E6ED7"/>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8E5E4" w:themeFill="accent6" w:themeFillTint="33"/>
    </w:tcPr>
    <w:tblStylePr w:type="firstRow">
      <w:rPr>
        <w:b/>
        <w:bCs/>
      </w:rPr>
      <w:tblPr/>
      <w:tcPr>
        <w:shd w:val="clear" w:color="auto" w:fill="D1CCC9" w:themeFill="accent6" w:themeFillTint="66"/>
      </w:tcPr>
    </w:tblStylePr>
    <w:tblStylePr w:type="lastRow">
      <w:rPr>
        <w:b/>
        <w:bCs/>
        <w:color w:val="000000" w:themeColor="text1"/>
      </w:rPr>
      <w:tblPr/>
      <w:tcPr>
        <w:shd w:val="clear" w:color="auto" w:fill="D1CCC9" w:themeFill="accent6" w:themeFillTint="66"/>
      </w:tcPr>
    </w:tblStylePr>
    <w:tblStylePr w:type="firstCol">
      <w:rPr>
        <w:color w:val="FFFFFF" w:themeColor="background1"/>
      </w:rPr>
      <w:tblPr/>
      <w:tcPr>
        <w:shd w:val="clear" w:color="auto" w:fill="69615A" w:themeFill="accent6" w:themeFillShade="BF"/>
      </w:tcPr>
    </w:tblStylePr>
    <w:tblStylePr w:type="lastCol">
      <w:rPr>
        <w:color w:val="FFFFFF" w:themeColor="background1"/>
      </w:rPr>
      <w:tblPr/>
      <w:tcPr>
        <w:shd w:val="clear" w:color="auto" w:fill="69615A" w:themeFill="accent6" w:themeFillShade="BF"/>
      </w:tcPr>
    </w:tblStylePr>
    <w:tblStylePr w:type="band1Vert">
      <w:tblPr/>
      <w:tcPr>
        <w:shd w:val="clear" w:color="auto" w:fill="C5C0BC" w:themeFill="accent6" w:themeFillTint="7F"/>
      </w:tcPr>
    </w:tblStylePr>
    <w:tblStylePr w:type="band1Horz">
      <w:tblPr/>
      <w:tcPr>
        <w:shd w:val="clear" w:color="auto" w:fill="C5C0BC" w:themeFill="accent6" w:themeFillTint="7F"/>
      </w:tcPr>
    </w:tblStylePr>
  </w:style>
  <w:style w:type="table" w:styleId="ColorfulList">
    <w:name w:val="Colorful List"/>
    <w:basedOn w:val="TableNormal"/>
    <w:uiPriority w:val="72"/>
    <w:semiHidden/>
    <w:unhideWhenUsed/>
    <w:rsid w:val="009E6ED7"/>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699700" w:themeFill="accent2" w:themeFillShade="CC"/>
      </w:tcPr>
    </w:tblStylePr>
    <w:tblStylePr w:type="lastRow">
      <w:rPr>
        <w:b/>
        <w:bCs/>
        <w:color w:val="6997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9E6ED7"/>
    <w:rPr>
      <w:color w:val="000000" w:themeColor="text1"/>
    </w:rPr>
    <w:tblPr>
      <w:tblStyleRowBandSize w:val="1"/>
      <w:tblStyleColBandSize w:val="1"/>
      <w:tblInd w:w="0" w:type="dxa"/>
      <w:tblCellMar>
        <w:top w:w="0" w:type="dxa"/>
        <w:left w:w="108" w:type="dxa"/>
        <w:bottom w:w="0" w:type="dxa"/>
        <w:right w:w="108" w:type="dxa"/>
      </w:tblCellMar>
    </w:tblPr>
    <w:tcPr>
      <w:shd w:val="clear" w:color="auto" w:fill="E3F9FF" w:themeFill="accent1" w:themeFillTint="19"/>
    </w:tcPr>
    <w:tblStylePr w:type="firstRow">
      <w:rPr>
        <w:b/>
        <w:bCs/>
        <w:color w:val="FFFFFF" w:themeColor="background1"/>
      </w:rPr>
      <w:tblPr/>
      <w:tcPr>
        <w:tcBorders>
          <w:bottom w:val="single" w:sz="12" w:space="0" w:color="FFFFFF" w:themeColor="background1"/>
        </w:tcBorders>
        <w:shd w:val="clear" w:color="auto" w:fill="699700" w:themeFill="accent2" w:themeFillShade="CC"/>
      </w:tcPr>
    </w:tblStylePr>
    <w:tblStylePr w:type="lastRow">
      <w:rPr>
        <w:b/>
        <w:bCs/>
        <w:color w:val="6997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8F0FF" w:themeFill="accent1" w:themeFillTint="3F"/>
      </w:tcPr>
    </w:tblStylePr>
    <w:tblStylePr w:type="band1Horz">
      <w:tblPr/>
      <w:tcPr>
        <w:shd w:val="clear" w:color="auto" w:fill="C6F3FF" w:themeFill="accent1" w:themeFillTint="33"/>
      </w:tcPr>
    </w:tblStylePr>
  </w:style>
  <w:style w:type="table" w:styleId="ColorfulList-Accent2">
    <w:name w:val="Colorful List Accent 2"/>
    <w:basedOn w:val="TableNormal"/>
    <w:uiPriority w:val="72"/>
    <w:semiHidden/>
    <w:unhideWhenUsed/>
    <w:rsid w:val="009E6ED7"/>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FDF" w:themeFill="accent2" w:themeFillTint="19"/>
    </w:tcPr>
    <w:tblStylePr w:type="firstRow">
      <w:rPr>
        <w:b/>
        <w:bCs/>
        <w:color w:val="FFFFFF" w:themeColor="background1"/>
      </w:rPr>
      <w:tblPr/>
      <w:tcPr>
        <w:tcBorders>
          <w:bottom w:val="single" w:sz="12" w:space="0" w:color="FFFFFF" w:themeColor="background1"/>
        </w:tcBorders>
        <w:shd w:val="clear" w:color="auto" w:fill="699700" w:themeFill="accent2" w:themeFillShade="CC"/>
      </w:tcPr>
    </w:tblStylePr>
    <w:tblStylePr w:type="lastRow">
      <w:rPr>
        <w:b/>
        <w:bCs/>
        <w:color w:val="6997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FFAF" w:themeFill="accent2" w:themeFillTint="3F"/>
      </w:tcPr>
    </w:tblStylePr>
    <w:tblStylePr w:type="band1Horz">
      <w:tblPr/>
      <w:tcPr>
        <w:shd w:val="clear" w:color="auto" w:fill="EBFFBE" w:themeFill="accent2" w:themeFillTint="33"/>
      </w:tcPr>
    </w:tblStylePr>
  </w:style>
  <w:style w:type="table" w:styleId="ColorfulList-Accent3">
    <w:name w:val="Colorful List Accent 3"/>
    <w:basedOn w:val="TableNormal"/>
    <w:uiPriority w:val="72"/>
    <w:semiHidden/>
    <w:unhideWhenUsed/>
    <w:rsid w:val="009E6ED7"/>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3E8" w:themeFill="accent3" w:themeFillTint="19"/>
    </w:tcPr>
    <w:tblStylePr w:type="firstRow">
      <w:rPr>
        <w:b/>
        <w:bCs/>
        <w:color w:val="FFFFFF" w:themeColor="background1"/>
      </w:rPr>
      <w:tblPr/>
      <w:tcPr>
        <w:tcBorders>
          <w:bottom w:val="single" w:sz="12" w:space="0" w:color="FFFFFF" w:themeColor="background1"/>
        </w:tcBorders>
        <w:shd w:val="clear" w:color="auto" w:fill="7E0064" w:themeFill="accent4" w:themeFillShade="CC"/>
      </w:tcPr>
    </w:tblStylePr>
    <w:tblStylePr w:type="lastRow">
      <w:rPr>
        <w:b/>
        <w:bCs/>
        <w:color w:val="7E0064"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2C7" w:themeFill="accent3" w:themeFillTint="3F"/>
      </w:tcPr>
    </w:tblStylePr>
    <w:tblStylePr w:type="band1Horz">
      <w:tblPr/>
      <w:tcPr>
        <w:shd w:val="clear" w:color="auto" w:fill="FDE7D2" w:themeFill="accent3" w:themeFillTint="33"/>
      </w:tcPr>
    </w:tblStylePr>
  </w:style>
  <w:style w:type="table" w:styleId="ColorfulList-Accent4">
    <w:name w:val="Colorful List Accent 4"/>
    <w:basedOn w:val="TableNormal"/>
    <w:uiPriority w:val="72"/>
    <w:semiHidden/>
    <w:unhideWhenUsed/>
    <w:rsid w:val="009E6ED7"/>
    <w:rPr>
      <w:color w:val="000000" w:themeColor="text1"/>
    </w:rPr>
    <w:tblPr>
      <w:tblStyleRowBandSize w:val="1"/>
      <w:tblStyleColBandSize w:val="1"/>
      <w:tblInd w:w="0" w:type="dxa"/>
      <w:tblCellMar>
        <w:top w:w="0" w:type="dxa"/>
        <w:left w:w="108" w:type="dxa"/>
        <w:bottom w:w="0" w:type="dxa"/>
        <w:right w:w="108" w:type="dxa"/>
      </w:tblCellMar>
    </w:tblPr>
    <w:tcPr>
      <w:shd w:val="clear" w:color="auto" w:fill="FFDCF7" w:themeFill="accent4" w:themeFillTint="19"/>
    </w:tcPr>
    <w:tblStylePr w:type="firstRow">
      <w:rPr>
        <w:b/>
        <w:bCs/>
        <w:color w:val="FFFFFF" w:themeColor="background1"/>
      </w:rPr>
      <w:tblPr/>
      <w:tcPr>
        <w:tcBorders>
          <w:bottom w:val="single" w:sz="12" w:space="0" w:color="FFFFFF" w:themeColor="background1"/>
        </w:tcBorders>
        <w:shd w:val="clear" w:color="auto" w:fill="D46F08" w:themeFill="accent3" w:themeFillShade="CC"/>
      </w:tcPr>
    </w:tblStylePr>
    <w:tblStylePr w:type="lastRow">
      <w:rPr>
        <w:b/>
        <w:bCs/>
        <w:color w:val="D46F0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A8ED" w:themeFill="accent4" w:themeFillTint="3F"/>
      </w:tcPr>
    </w:tblStylePr>
    <w:tblStylePr w:type="band1Horz">
      <w:tblPr/>
      <w:tcPr>
        <w:shd w:val="clear" w:color="auto" w:fill="FFB8F0" w:themeFill="accent4" w:themeFillTint="33"/>
      </w:tcPr>
    </w:tblStylePr>
  </w:style>
  <w:style w:type="table" w:styleId="ColorfulList-Accent5">
    <w:name w:val="Colorful List Accent 5"/>
    <w:basedOn w:val="TableNormal"/>
    <w:uiPriority w:val="72"/>
    <w:semiHidden/>
    <w:unhideWhenUsed/>
    <w:rsid w:val="009E6ED7"/>
    <w:rPr>
      <w:color w:val="000000" w:themeColor="text1"/>
    </w:rPr>
    <w:tblPr>
      <w:tblStyleRowBandSize w:val="1"/>
      <w:tblStyleColBandSize w:val="1"/>
      <w:tblInd w:w="0" w:type="dxa"/>
      <w:tblCellMar>
        <w:top w:w="0" w:type="dxa"/>
        <w:left w:w="108" w:type="dxa"/>
        <w:bottom w:w="0" w:type="dxa"/>
        <w:right w:w="108" w:type="dxa"/>
      </w:tblCellMar>
    </w:tblPr>
    <w:tcPr>
      <w:shd w:val="clear" w:color="auto" w:fill="FFFCE7" w:themeFill="accent5" w:themeFillTint="19"/>
    </w:tcPr>
    <w:tblStylePr w:type="firstRow">
      <w:rPr>
        <w:b/>
        <w:bCs/>
        <w:color w:val="FFFFFF" w:themeColor="background1"/>
      </w:rPr>
      <w:tblPr/>
      <w:tcPr>
        <w:tcBorders>
          <w:bottom w:val="single" w:sz="12" w:space="0" w:color="FFFFFF" w:themeColor="background1"/>
        </w:tcBorders>
        <w:shd w:val="clear" w:color="auto" w:fill="706760" w:themeFill="accent6" w:themeFillShade="CC"/>
      </w:tcPr>
    </w:tblStylePr>
    <w:tblStylePr w:type="lastRow">
      <w:rPr>
        <w:b/>
        <w:bCs/>
        <w:color w:val="70676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8C4" w:themeFill="accent5" w:themeFillTint="3F"/>
      </w:tcPr>
    </w:tblStylePr>
    <w:tblStylePr w:type="band1Horz">
      <w:tblPr/>
      <w:tcPr>
        <w:shd w:val="clear" w:color="auto" w:fill="FFF9CF" w:themeFill="accent5" w:themeFillTint="33"/>
      </w:tcPr>
    </w:tblStylePr>
  </w:style>
  <w:style w:type="table" w:styleId="ColorfulList-Accent6">
    <w:name w:val="Colorful List Accent 6"/>
    <w:basedOn w:val="TableNormal"/>
    <w:uiPriority w:val="72"/>
    <w:semiHidden/>
    <w:unhideWhenUsed/>
    <w:rsid w:val="009E6ED7"/>
    <w:rPr>
      <w:color w:val="000000" w:themeColor="text1"/>
    </w:rPr>
    <w:tblPr>
      <w:tblStyleRowBandSize w:val="1"/>
      <w:tblStyleColBandSize w:val="1"/>
      <w:tblInd w:w="0" w:type="dxa"/>
      <w:tblCellMar>
        <w:top w:w="0" w:type="dxa"/>
        <w:left w:w="108" w:type="dxa"/>
        <w:bottom w:w="0" w:type="dxa"/>
        <w:right w:w="108" w:type="dxa"/>
      </w:tblCellMar>
    </w:tblPr>
    <w:tcPr>
      <w:shd w:val="clear" w:color="auto" w:fill="F3F2F1" w:themeFill="accent6" w:themeFillTint="19"/>
    </w:tcPr>
    <w:tblStylePr w:type="firstRow">
      <w:rPr>
        <w:b/>
        <w:bCs/>
        <w:color w:val="FFFFFF" w:themeColor="background1"/>
      </w:rPr>
      <w:tblPr/>
      <w:tcPr>
        <w:tcBorders>
          <w:bottom w:val="single" w:sz="12" w:space="0" w:color="FFFFFF" w:themeColor="background1"/>
        </w:tcBorders>
        <w:shd w:val="clear" w:color="auto" w:fill="DAC200" w:themeFill="accent5" w:themeFillShade="CC"/>
      </w:tcPr>
    </w:tblStylePr>
    <w:tblStylePr w:type="lastRow">
      <w:rPr>
        <w:b/>
        <w:bCs/>
        <w:color w:val="DAC2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E0DD" w:themeFill="accent6" w:themeFillTint="3F"/>
      </w:tcPr>
    </w:tblStylePr>
    <w:tblStylePr w:type="band1Horz">
      <w:tblPr/>
      <w:tcPr>
        <w:shd w:val="clear" w:color="auto" w:fill="E8E5E4" w:themeFill="accent6" w:themeFillTint="33"/>
      </w:tcPr>
    </w:tblStylePr>
  </w:style>
  <w:style w:type="table" w:styleId="ColorfulShading">
    <w:name w:val="Colorful Shading"/>
    <w:basedOn w:val="TableNormal"/>
    <w:uiPriority w:val="71"/>
    <w:semiHidden/>
    <w:unhideWhenUsed/>
    <w:rsid w:val="009E6ED7"/>
    <w:rPr>
      <w:color w:val="000000" w:themeColor="text1"/>
    </w:rPr>
    <w:tblPr>
      <w:tblStyleRowBandSize w:val="1"/>
      <w:tblStyleColBandSize w:val="1"/>
      <w:tblInd w:w="0" w:type="dxa"/>
      <w:tblBorders>
        <w:top w:val="single" w:sz="24" w:space="0" w:color="84BD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84BD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9E6ED7"/>
    <w:rPr>
      <w:color w:val="000000" w:themeColor="text1"/>
    </w:rPr>
    <w:tblPr>
      <w:tblStyleRowBandSize w:val="1"/>
      <w:tblStyleColBandSize w:val="1"/>
      <w:tblInd w:w="0" w:type="dxa"/>
      <w:tblBorders>
        <w:top w:val="single" w:sz="24" w:space="0" w:color="84BD00" w:themeColor="accent2"/>
        <w:left w:val="single" w:sz="4" w:space="0" w:color="00B5E2" w:themeColor="accent1"/>
        <w:bottom w:val="single" w:sz="4" w:space="0" w:color="00B5E2" w:themeColor="accent1"/>
        <w:right w:val="single" w:sz="4" w:space="0" w:color="00B5E2"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3F9FF" w:themeFill="accent1" w:themeFillTint="19"/>
    </w:tcPr>
    <w:tblStylePr w:type="firstRow">
      <w:rPr>
        <w:b/>
        <w:bCs/>
      </w:rPr>
      <w:tblPr/>
      <w:tcPr>
        <w:tcBorders>
          <w:top w:val="nil"/>
          <w:left w:val="nil"/>
          <w:bottom w:val="single" w:sz="24" w:space="0" w:color="84BD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C87" w:themeFill="accent1" w:themeFillShade="99"/>
      </w:tcPr>
    </w:tblStylePr>
    <w:tblStylePr w:type="firstCol">
      <w:rPr>
        <w:color w:val="FFFFFF" w:themeColor="background1"/>
      </w:rPr>
      <w:tblPr/>
      <w:tcPr>
        <w:tcBorders>
          <w:top w:val="nil"/>
          <w:left w:val="nil"/>
          <w:bottom w:val="nil"/>
          <w:right w:val="nil"/>
          <w:insideH w:val="single" w:sz="4" w:space="0" w:color="006C87" w:themeColor="accent1" w:themeShade="99"/>
          <w:insideV w:val="nil"/>
        </w:tcBorders>
        <w:shd w:val="clear" w:color="auto" w:fill="006C87"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6C87" w:themeFill="accent1" w:themeFillShade="99"/>
      </w:tcPr>
    </w:tblStylePr>
    <w:tblStylePr w:type="band1Vert">
      <w:tblPr/>
      <w:tcPr>
        <w:shd w:val="clear" w:color="auto" w:fill="8DE8FF" w:themeFill="accent1" w:themeFillTint="66"/>
      </w:tcPr>
    </w:tblStylePr>
    <w:tblStylePr w:type="band1Horz">
      <w:tblPr/>
      <w:tcPr>
        <w:shd w:val="clear" w:color="auto" w:fill="71E2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9E6ED7"/>
    <w:rPr>
      <w:color w:val="000000" w:themeColor="text1"/>
    </w:rPr>
    <w:tblPr>
      <w:tblStyleRowBandSize w:val="1"/>
      <w:tblStyleColBandSize w:val="1"/>
      <w:tblInd w:w="0" w:type="dxa"/>
      <w:tblBorders>
        <w:top w:val="single" w:sz="24" w:space="0" w:color="84BD00" w:themeColor="accent2"/>
        <w:left w:val="single" w:sz="4" w:space="0" w:color="84BD00" w:themeColor="accent2"/>
        <w:bottom w:val="single" w:sz="4" w:space="0" w:color="84BD00" w:themeColor="accent2"/>
        <w:right w:val="single" w:sz="4" w:space="0" w:color="84BD00"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FDF" w:themeFill="accent2" w:themeFillTint="19"/>
    </w:tcPr>
    <w:tblStylePr w:type="firstRow">
      <w:rPr>
        <w:b/>
        <w:bCs/>
      </w:rPr>
      <w:tblPr/>
      <w:tcPr>
        <w:tcBorders>
          <w:top w:val="nil"/>
          <w:left w:val="nil"/>
          <w:bottom w:val="single" w:sz="24" w:space="0" w:color="84BD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F7100" w:themeFill="accent2" w:themeFillShade="99"/>
      </w:tcPr>
    </w:tblStylePr>
    <w:tblStylePr w:type="firstCol">
      <w:rPr>
        <w:color w:val="FFFFFF" w:themeColor="background1"/>
      </w:rPr>
      <w:tblPr/>
      <w:tcPr>
        <w:tcBorders>
          <w:top w:val="nil"/>
          <w:left w:val="nil"/>
          <w:bottom w:val="nil"/>
          <w:right w:val="nil"/>
          <w:insideH w:val="single" w:sz="4" w:space="0" w:color="4F7100" w:themeColor="accent2" w:themeShade="99"/>
          <w:insideV w:val="nil"/>
        </w:tcBorders>
        <w:shd w:val="clear" w:color="auto" w:fill="4F71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F7100" w:themeFill="accent2" w:themeFillShade="99"/>
      </w:tcPr>
    </w:tblStylePr>
    <w:tblStylePr w:type="band1Vert">
      <w:tblPr/>
      <w:tcPr>
        <w:shd w:val="clear" w:color="auto" w:fill="D8FF7E" w:themeFill="accent2" w:themeFillTint="66"/>
      </w:tcPr>
    </w:tblStylePr>
    <w:tblStylePr w:type="band1Horz">
      <w:tblPr/>
      <w:tcPr>
        <w:shd w:val="clear" w:color="auto" w:fill="CEFF5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9E6ED7"/>
    <w:rPr>
      <w:color w:val="000000" w:themeColor="text1"/>
    </w:rPr>
    <w:tblPr>
      <w:tblStyleRowBandSize w:val="1"/>
      <w:tblStyleColBandSize w:val="1"/>
      <w:tblInd w:w="0" w:type="dxa"/>
      <w:tblBorders>
        <w:top w:val="single" w:sz="24" w:space="0" w:color="9E007E" w:themeColor="accent4"/>
        <w:left w:val="single" w:sz="4" w:space="0" w:color="F68B1F" w:themeColor="accent3"/>
        <w:bottom w:val="single" w:sz="4" w:space="0" w:color="F68B1F" w:themeColor="accent3"/>
        <w:right w:val="single" w:sz="4" w:space="0" w:color="F68B1F"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3E8" w:themeFill="accent3" w:themeFillTint="19"/>
    </w:tcPr>
    <w:tblStylePr w:type="firstRow">
      <w:rPr>
        <w:b/>
        <w:bCs/>
      </w:rPr>
      <w:tblPr/>
      <w:tcPr>
        <w:tcBorders>
          <w:top w:val="nil"/>
          <w:left w:val="nil"/>
          <w:bottom w:val="single" w:sz="24" w:space="0" w:color="9E007E"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F5306" w:themeFill="accent3" w:themeFillShade="99"/>
      </w:tcPr>
    </w:tblStylePr>
    <w:tblStylePr w:type="firstCol">
      <w:rPr>
        <w:color w:val="FFFFFF" w:themeColor="background1"/>
      </w:rPr>
      <w:tblPr/>
      <w:tcPr>
        <w:tcBorders>
          <w:top w:val="nil"/>
          <w:left w:val="nil"/>
          <w:bottom w:val="nil"/>
          <w:right w:val="nil"/>
          <w:insideH w:val="single" w:sz="4" w:space="0" w:color="9F5306" w:themeColor="accent3" w:themeShade="99"/>
          <w:insideV w:val="nil"/>
        </w:tcBorders>
        <w:shd w:val="clear" w:color="auto" w:fill="9F5306"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F5306" w:themeFill="accent3" w:themeFillShade="99"/>
      </w:tcPr>
    </w:tblStylePr>
    <w:tblStylePr w:type="band1Vert">
      <w:tblPr/>
      <w:tcPr>
        <w:shd w:val="clear" w:color="auto" w:fill="FBD0A5" w:themeFill="accent3" w:themeFillTint="66"/>
      </w:tcPr>
    </w:tblStylePr>
    <w:tblStylePr w:type="band1Horz">
      <w:tblPr/>
      <w:tcPr>
        <w:shd w:val="clear" w:color="auto" w:fill="FAC58F" w:themeFill="accent3" w:themeFillTint="7F"/>
      </w:tcPr>
    </w:tblStylePr>
  </w:style>
  <w:style w:type="table" w:styleId="ColorfulShading-Accent4">
    <w:name w:val="Colorful Shading Accent 4"/>
    <w:basedOn w:val="TableNormal"/>
    <w:uiPriority w:val="71"/>
    <w:semiHidden/>
    <w:unhideWhenUsed/>
    <w:rsid w:val="009E6ED7"/>
    <w:rPr>
      <w:color w:val="000000" w:themeColor="text1"/>
    </w:rPr>
    <w:tblPr>
      <w:tblStyleRowBandSize w:val="1"/>
      <w:tblStyleColBandSize w:val="1"/>
      <w:tblInd w:w="0" w:type="dxa"/>
      <w:tblBorders>
        <w:top w:val="single" w:sz="24" w:space="0" w:color="F68B1F" w:themeColor="accent3"/>
        <w:left w:val="single" w:sz="4" w:space="0" w:color="9E007E" w:themeColor="accent4"/>
        <w:bottom w:val="single" w:sz="4" w:space="0" w:color="9E007E" w:themeColor="accent4"/>
        <w:right w:val="single" w:sz="4" w:space="0" w:color="9E007E"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DCF7" w:themeFill="accent4" w:themeFillTint="19"/>
    </w:tcPr>
    <w:tblStylePr w:type="firstRow">
      <w:rPr>
        <w:b/>
        <w:bCs/>
      </w:rPr>
      <w:tblPr/>
      <w:tcPr>
        <w:tcBorders>
          <w:top w:val="nil"/>
          <w:left w:val="nil"/>
          <w:bottom w:val="single" w:sz="24" w:space="0" w:color="F68B1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004B" w:themeFill="accent4" w:themeFillShade="99"/>
      </w:tcPr>
    </w:tblStylePr>
    <w:tblStylePr w:type="firstCol">
      <w:rPr>
        <w:color w:val="FFFFFF" w:themeColor="background1"/>
      </w:rPr>
      <w:tblPr/>
      <w:tcPr>
        <w:tcBorders>
          <w:top w:val="nil"/>
          <w:left w:val="nil"/>
          <w:bottom w:val="nil"/>
          <w:right w:val="nil"/>
          <w:insideH w:val="single" w:sz="4" w:space="0" w:color="5E004B" w:themeColor="accent4" w:themeShade="99"/>
          <w:insideV w:val="nil"/>
        </w:tcBorders>
        <w:shd w:val="clear" w:color="auto" w:fill="5E004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E004B" w:themeFill="accent4" w:themeFillShade="99"/>
      </w:tcPr>
    </w:tblStylePr>
    <w:tblStylePr w:type="band1Vert">
      <w:tblPr/>
      <w:tcPr>
        <w:shd w:val="clear" w:color="auto" w:fill="FF72E2" w:themeFill="accent4" w:themeFillTint="66"/>
      </w:tcPr>
    </w:tblStylePr>
    <w:tblStylePr w:type="band1Horz">
      <w:tblPr/>
      <w:tcPr>
        <w:shd w:val="clear" w:color="auto" w:fill="FF4FDB"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9E6ED7"/>
    <w:rPr>
      <w:color w:val="000000" w:themeColor="text1"/>
    </w:rPr>
    <w:tblPr>
      <w:tblStyleRowBandSize w:val="1"/>
      <w:tblStyleColBandSize w:val="1"/>
      <w:tblInd w:w="0" w:type="dxa"/>
      <w:tblBorders>
        <w:top w:val="single" w:sz="24" w:space="0" w:color="8C8279" w:themeColor="accent6"/>
        <w:left w:val="single" w:sz="4" w:space="0" w:color="FFE512" w:themeColor="accent5"/>
        <w:bottom w:val="single" w:sz="4" w:space="0" w:color="FFE512" w:themeColor="accent5"/>
        <w:right w:val="single" w:sz="4" w:space="0" w:color="FFE512"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CE7" w:themeFill="accent5" w:themeFillTint="19"/>
    </w:tcPr>
    <w:tblStylePr w:type="firstRow">
      <w:rPr>
        <w:b/>
        <w:bCs/>
      </w:rPr>
      <w:tblPr/>
      <w:tcPr>
        <w:tcBorders>
          <w:top w:val="nil"/>
          <w:left w:val="nil"/>
          <w:bottom w:val="single" w:sz="24" w:space="0" w:color="8C8279"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39100" w:themeFill="accent5" w:themeFillShade="99"/>
      </w:tcPr>
    </w:tblStylePr>
    <w:tblStylePr w:type="firstCol">
      <w:rPr>
        <w:color w:val="FFFFFF" w:themeColor="background1"/>
      </w:rPr>
      <w:tblPr/>
      <w:tcPr>
        <w:tcBorders>
          <w:top w:val="nil"/>
          <w:left w:val="nil"/>
          <w:bottom w:val="nil"/>
          <w:right w:val="nil"/>
          <w:insideH w:val="single" w:sz="4" w:space="0" w:color="A39100" w:themeColor="accent5" w:themeShade="99"/>
          <w:insideV w:val="nil"/>
        </w:tcBorders>
        <w:shd w:val="clear" w:color="auto" w:fill="A391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A39100" w:themeFill="accent5" w:themeFillShade="99"/>
      </w:tcPr>
    </w:tblStylePr>
    <w:tblStylePr w:type="band1Vert">
      <w:tblPr/>
      <w:tcPr>
        <w:shd w:val="clear" w:color="auto" w:fill="FFF4A0" w:themeFill="accent5" w:themeFillTint="66"/>
      </w:tcPr>
    </w:tblStylePr>
    <w:tblStylePr w:type="band1Horz">
      <w:tblPr/>
      <w:tcPr>
        <w:shd w:val="clear" w:color="auto" w:fill="FFF288"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9E6ED7"/>
    <w:rPr>
      <w:color w:val="000000" w:themeColor="text1"/>
    </w:rPr>
    <w:tblPr>
      <w:tblStyleRowBandSize w:val="1"/>
      <w:tblStyleColBandSize w:val="1"/>
      <w:tblInd w:w="0" w:type="dxa"/>
      <w:tblBorders>
        <w:top w:val="single" w:sz="24" w:space="0" w:color="FFE512" w:themeColor="accent5"/>
        <w:left w:val="single" w:sz="4" w:space="0" w:color="8C8279" w:themeColor="accent6"/>
        <w:bottom w:val="single" w:sz="4" w:space="0" w:color="8C8279" w:themeColor="accent6"/>
        <w:right w:val="single" w:sz="4" w:space="0" w:color="8C8279"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3F2F1" w:themeFill="accent6" w:themeFillTint="19"/>
    </w:tcPr>
    <w:tblStylePr w:type="firstRow">
      <w:rPr>
        <w:b/>
        <w:bCs/>
      </w:rPr>
      <w:tblPr/>
      <w:tcPr>
        <w:tcBorders>
          <w:top w:val="nil"/>
          <w:left w:val="nil"/>
          <w:bottom w:val="single" w:sz="24" w:space="0" w:color="FFE512"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44D48" w:themeFill="accent6" w:themeFillShade="99"/>
      </w:tcPr>
    </w:tblStylePr>
    <w:tblStylePr w:type="firstCol">
      <w:rPr>
        <w:color w:val="FFFFFF" w:themeColor="background1"/>
      </w:rPr>
      <w:tblPr/>
      <w:tcPr>
        <w:tcBorders>
          <w:top w:val="nil"/>
          <w:left w:val="nil"/>
          <w:bottom w:val="nil"/>
          <w:right w:val="nil"/>
          <w:insideH w:val="single" w:sz="4" w:space="0" w:color="544D48" w:themeColor="accent6" w:themeShade="99"/>
          <w:insideV w:val="nil"/>
        </w:tcBorders>
        <w:shd w:val="clear" w:color="auto" w:fill="544D4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44D48" w:themeFill="accent6" w:themeFillShade="99"/>
      </w:tcPr>
    </w:tblStylePr>
    <w:tblStylePr w:type="band1Vert">
      <w:tblPr/>
      <w:tcPr>
        <w:shd w:val="clear" w:color="auto" w:fill="D1CCC9" w:themeFill="accent6" w:themeFillTint="66"/>
      </w:tcPr>
    </w:tblStylePr>
    <w:tblStylePr w:type="band1Horz">
      <w:tblPr/>
      <w:tcPr>
        <w:shd w:val="clear" w:color="auto" w:fill="C5C0BC"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9E6ED7"/>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9E6ED7"/>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B5E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97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87A9"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87A9" w:themeFill="accent1" w:themeFillShade="BF"/>
      </w:tcPr>
    </w:tblStylePr>
    <w:tblStylePr w:type="band1Vert">
      <w:tblPr/>
      <w:tcPr>
        <w:tcBorders>
          <w:top w:val="nil"/>
          <w:left w:val="nil"/>
          <w:bottom w:val="nil"/>
          <w:right w:val="nil"/>
          <w:insideH w:val="nil"/>
          <w:insideV w:val="nil"/>
        </w:tcBorders>
        <w:shd w:val="clear" w:color="auto" w:fill="0087A9" w:themeFill="accent1" w:themeFillShade="BF"/>
      </w:tcPr>
    </w:tblStylePr>
    <w:tblStylePr w:type="band1Horz">
      <w:tblPr/>
      <w:tcPr>
        <w:tcBorders>
          <w:top w:val="nil"/>
          <w:left w:val="nil"/>
          <w:bottom w:val="nil"/>
          <w:right w:val="nil"/>
          <w:insideH w:val="nil"/>
          <w:insideV w:val="nil"/>
        </w:tcBorders>
        <w:shd w:val="clear" w:color="auto" w:fill="0087A9" w:themeFill="accent1" w:themeFillShade="BF"/>
      </w:tcPr>
    </w:tblStylePr>
  </w:style>
  <w:style w:type="table" w:styleId="DarkList-Accent2">
    <w:name w:val="Dark List Accent 2"/>
    <w:basedOn w:val="TableNormal"/>
    <w:uiPriority w:val="70"/>
    <w:semiHidden/>
    <w:unhideWhenUsed/>
    <w:rsid w:val="009E6ED7"/>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4BD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E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628D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628D00" w:themeFill="accent2" w:themeFillShade="BF"/>
      </w:tcPr>
    </w:tblStylePr>
    <w:tblStylePr w:type="band1Vert">
      <w:tblPr/>
      <w:tcPr>
        <w:tcBorders>
          <w:top w:val="nil"/>
          <w:left w:val="nil"/>
          <w:bottom w:val="nil"/>
          <w:right w:val="nil"/>
          <w:insideH w:val="nil"/>
          <w:insideV w:val="nil"/>
        </w:tcBorders>
        <w:shd w:val="clear" w:color="auto" w:fill="628D00" w:themeFill="accent2" w:themeFillShade="BF"/>
      </w:tcPr>
    </w:tblStylePr>
    <w:tblStylePr w:type="band1Horz">
      <w:tblPr/>
      <w:tcPr>
        <w:tcBorders>
          <w:top w:val="nil"/>
          <w:left w:val="nil"/>
          <w:bottom w:val="nil"/>
          <w:right w:val="nil"/>
          <w:insideH w:val="nil"/>
          <w:insideV w:val="nil"/>
        </w:tcBorders>
        <w:shd w:val="clear" w:color="auto" w:fill="628D00" w:themeFill="accent2" w:themeFillShade="BF"/>
      </w:tcPr>
    </w:tblStylePr>
  </w:style>
  <w:style w:type="table" w:styleId="DarkList-Accent3">
    <w:name w:val="Dark List Accent 3"/>
    <w:basedOn w:val="TableNormal"/>
    <w:uiPriority w:val="70"/>
    <w:semiHidden/>
    <w:unhideWhenUsed/>
    <w:rsid w:val="009E6ED7"/>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68B1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44505"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C76808"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C76808" w:themeFill="accent3" w:themeFillShade="BF"/>
      </w:tcPr>
    </w:tblStylePr>
    <w:tblStylePr w:type="band1Vert">
      <w:tblPr/>
      <w:tcPr>
        <w:tcBorders>
          <w:top w:val="nil"/>
          <w:left w:val="nil"/>
          <w:bottom w:val="nil"/>
          <w:right w:val="nil"/>
          <w:insideH w:val="nil"/>
          <w:insideV w:val="nil"/>
        </w:tcBorders>
        <w:shd w:val="clear" w:color="auto" w:fill="C76808" w:themeFill="accent3" w:themeFillShade="BF"/>
      </w:tcPr>
    </w:tblStylePr>
    <w:tblStylePr w:type="band1Horz">
      <w:tblPr/>
      <w:tcPr>
        <w:tcBorders>
          <w:top w:val="nil"/>
          <w:left w:val="nil"/>
          <w:bottom w:val="nil"/>
          <w:right w:val="nil"/>
          <w:insideH w:val="nil"/>
          <w:insideV w:val="nil"/>
        </w:tcBorders>
        <w:shd w:val="clear" w:color="auto" w:fill="C76808" w:themeFill="accent3" w:themeFillShade="BF"/>
      </w:tcPr>
    </w:tblStylePr>
  </w:style>
  <w:style w:type="table" w:styleId="DarkList-Accent4">
    <w:name w:val="Dark List Accent 4"/>
    <w:basedOn w:val="TableNormal"/>
    <w:uiPriority w:val="70"/>
    <w:semiHidden/>
    <w:unhideWhenUsed/>
    <w:rsid w:val="009E6ED7"/>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E007E"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003E"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76005E"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76005E" w:themeFill="accent4" w:themeFillShade="BF"/>
      </w:tcPr>
    </w:tblStylePr>
    <w:tblStylePr w:type="band1Vert">
      <w:tblPr/>
      <w:tcPr>
        <w:tcBorders>
          <w:top w:val="nil"/>
          <w:left w:val="nil"/>
          <w:bottom w:val="nil"/>
          <w:right w:val="nil"/>
          <w:insideH w:val="nil"/>
          <w:insideV w:val="nil"/>
        </w:tcBorders>
        <w:shd w:val="clear" w:color="auto" w:fill="76005E" w:themeFill="accent4" w:themeFillShade="BF"/>
      </w:tcPr>
    </w:tblStylePr>
    <w:tblStylePr w:type="band1Horz">
      <w:tblPr/>
      <w:tcPr>
        <w:tcBorders>
          <w:top w:val="nil"/>
          <w:left w:val="nil"/>
          <w:bottom w:val="nil"/>
          <w:right w:val="nil"/>
          <w:insideH w:val="nil"/>
          <w:insideV w:val="nil"/>
        </w:tcBorders>
        <w:shd w:val="clear" w:color="auto" w:fill="76005E" w:themeFill="accent4" w:themeFillShade="BF"/>
      </w:tcPr>
    </w:tblStylePr>
  </w:style>
  <w:style w:type="table" w:styleId="DarkList-Accent5">
    <w:name w:val="Dark List Accent 5"/>
    <w:basedOn w:val="TableNormal"/>
    <w:uiPriority w:val="70"/>
    <w:semiHidden/>
    <w:unhideWhenUsed/>
    <w:rsid w:val="009E6ED7"/>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FE512"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778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CCB5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CCB500" w:themeFill="accent5" w:themeFillShade="BF"/>
      </w:tcPr>
    </w:tblStylePr>
    <w:tblStylePr w:type="band1Vert">
      <w:tblPr/>
      <w:tcPr>
        <w:tcBorders>
          <w:top w:val="nil"/>
          <w:left w:val="nil"/>
          <w:bottom w:val="nil"/>
          <w:right w:val="nil"/>
          <w:insideH w:val="nil"/>
          <w:insideV w:val="nil"/>
        </w:tcBorders>
        <w:shd w:val="clear" w:color="auto" w:fill="CCB500" w:themeFill="accent5" w:themeFillShade="BF"/>
      </w:tcPr>
    </w:tblStylePr>
    <w:tblStylePr w:type="band1Horz">
      <w:tblPr/>
      <w:tcPr>
        <w:tcBorders>
          <w:top w:val="nil"/>
          <w:left w:val="nil"/>
          <w:bottom w:val="nil"/>
          <w:right w:val="nil"/>
          <w:insideH w:val="nil"/>
          <w:insideV w:val="nil"/>
        </w:tcBorders>
        <w:shd w:val="clear" w:color="auto" w:fill="CCB500" w:themeFill="accent5" w:themeFillShade="BF"/>
      </w:tcPr>
    </w:tblStylePr>
  </w:style>
  <w:style w:type="table" w:styleId="DarkList-Accent6">
    <w:name w:val="Dark List Accent 6"/>
    <w:basedOn w:val="TableNormal"/>
    <w:uiPriority w:val="70"/>
    <w:semiHidden/>
    <w:unhideWhenUsed/>
    <w:rsid w:val="009E6ED7"/>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C8279"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5403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9615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9615A" w:themeFill="accent6" w:themeFillShade="BF"/>
      </w:tcPr>
    </w:tblStylePr>
    <w:tblStylePr w:type="band1Vert">
      <w:tblPr/>
      <w:tcPr>
        <w:tcBorders>
          <w:top w:val="nil"/>
          <w:left w:val="nil"/>
          <w:bottom w:val="nil"/>
          <w:right w:val="nil"/>
          <w:insideH w:val="nil"/>
          <w:insideV w:val="nil"/>
        </w:tcBorders>
        <w:shd w:val="clear" w:color="auto" w:fill="69615A" w:themeFill="accent6" w:themeFillShade="BF"/>
      </w:tcPr>
    </w:tblStylePr>
    <w:tblStylePr w:type="band1Horz">
      <w:tblPr/>
      <w:tcPr>
        <w:tcBorders>
          <w:top w:val="nil"/>
          <w:left w:val="nil"/>
          <w:bottom w:val="nil"/>
          <w:right w:val="nil"/>
          <w:insideH w:val="nil"/>
          <w:insideV w:val="nil"/>
        </w:tcBorders>
        <w:shd w:val="clear" w:color="auto" w:fill="69615A" w:themeFill="accent6" w:themeFillShade="BF"/>
      </w:tcPr>
    </w:tblStylePr>
  </w:style>
  <w:style w:type="table" w:styleId="LightGrid">
    <w:name w:val="Light Grid"/>
    <w:basedOn w:val="TableNormal"/>
    <w:uiPriority w:val="62"/>
    <w:semiHidden/>
    <w:unhideWhenUsed/>
    <w:rsid w:val="009E6ED7"/>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9E6ED7"/>
    <w:tblPr>
      <w:tblStyleRowBandSize w:val="1"/>
      <w:tblStyleColBandSize w:val="1"/>
      <w:tblInd w:w="0" w:type="dxa"/>
      <w:tblBorders>
        <w:top w:val="single" w:sz="8" w:space="0" w:color="00B5E2" w:themeColor="accent1"/>
        <w:left w:val="single" w:sz="8" w:space="0" w:color="00B5E2" w:themeColor="accent1"/>
        <w:bottom w:val="single" w:sz="8" w:space="0" w:color="00B5E2" w:themeColor="accent1"/>
        <w:right w:val="single" w:sz="8" w:space="0" w:color="00B5E2" w:themeColor="accent1"/>
        <w:insideH w:val="single" w:sz="8" w:space="0" w:color="00B5E2" w:themeColor="accent1"/>
        <w:insideV w:val="single" w:sz="8" w:space="0" w:color="00B5E2"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B5E2" w:themeColor="accent1"/>
          <w:left w:val="single" w:sz="8" w:space="0" w:color="00B5E2" w:themeColor="accent1"/>
          <w:bottom w:val="single" w:sz="18" w:space="0" w:color="00B5E2" w:themeColor="accent1"/>
          <w:right w:val="single" w:sz="8" w:space="0" w:color="00B5E2" w:themeColor="accent1"/>
          <w:insideH w:val="nil"/>
          <w:insideV w:val="single" w:sz="8" w:space="0" w:color="00B5E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5E2" w:themeColor="accent1"/>
          <w:left w:val="single" w:sz="8" w:space="0" w:color="00B5E2" w:themeColor="accent1"/>
          <w:bottom w:val="single" w:sz="8" w:space="0" w:color="00B5E2" w:themeColor="accent1"/>
          <w:right w:val="single" w:sz="8" w:space="0" w:color="00B5E2" w:themeColor="accent1"/>
          <w:insideH w:val="nil"/>
          <w:insideV w:val="single" w:sz="8" w:space="0" w:color="00B5E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5E2" w:themeColor="accent1"/>
          <w:left w:val="single" w:sz="8" w:space="0" w:color="00B5E2" w:themeColor="accent1"/>
          <w:bottom w:val="single" w:sz="8" w:space="0" w:color="00B5E2" w:themeColor="accent1"/>
          <w:right w:val="single" w:sz="8" w:space="0" w:color="00B5E2" w:themeColor="accent1"/>
        </w:tcBorders>
      </w:tcPr>
    </w:tblStylePr>
    <w:tblStylePr w:type="band1Vert">
      <w:tblPr/>
      <w:tcPr>
        <w:tcBorders>
          <w:top w:val="single" w:sz="8" w:space="0" w:color="00B5E2" w:themeColor="accent1"/>
          <w:left w:val="single" w:sz="8" w:space="0" w:color="00B5E2" w:themeColor="accent1"/>
          <w:bottom w:val="single" w:sz="8" w:space="0" w:color="00B5E2" w:themeColor="accent1"/>
          <w:right w:val="single" w:sz="8" w:space="0" w:color="00B5E2" w:themeColor="accent1"/>
        </w:tcBorders>
        <w:shd w:val="clear" w:color="auto" w:fill="B8F0FF" w:themeFill="accent1" w:themeFillTint="3F"/>
      </w:tcPr>
    </w:tblStylePr>
    <w:tblStylePr w:type="band1Horz">
      <w:tblPr/>
      <w:tcPr>
        <w:tcBorders>
          <w:top w:val="single" w:sz="8" w:space="0" w:color="00B5E2" w:themeColor="accent1"/>
          <w:left w:val="single" w:sz="8" w:space="0" w:color="00B5E2" w:themeColor="accent1"/>
          <w:bottom w:val="single" w:sz="8" w:space="0" w:color="00B5E2" w:themeColor="accent1"/>
          <w:right w:val="single" w:sz="8" w:space="0" w:color="00B5E2" w:themeColor="accent1"/>
          <w:insideV w:val="single" w:sz="8" w:space="0" w:color="00B5E2" w:themeColor="accent1"/>
        </w:tcBorders>
        <w:shd w:val="clear" w:color="auto" w:fill="B8F0FF" w:themeFill="accent1" w:themeFillTint="3F"/>
      </w:tcPr>
    </w:tblStylePr>
    <w:tblStylePr w:type="band2Horz">
      <w:tblPr/>
      <w:tcPr>
        <w:tcBorders>
          <w:top w:val="single" w:sz="8" w:space="0" w:color="00B5E2" w:themeColor="accent1"/>
          <w:left w:val="single" w:sz="8" w:space="0" w:color="00B5E2" w:themeColor="accent1"/>
          <w:bottom w:val="single" w:sz="8" w:space="0" w:color="00B5E2" w:themeColor="accent1"/>
          <w:right w:val="single" w:sz="8" w:space="0" w:color="00B5E2" w:themeColor="accent1"/>
          <w:insideV w:val="single" w:sz="8" w:space="0" w:color="00B5E2" w:themeColor="accent1"/>
        </w:tcBorders>
      </w:tcPr>
    </w:tblStylePr>
  </w:style>
  <w:style w:type="table" w:styleId="LightGrid-Accent2">
    <w:name w:val="Light Grid Accent 2"/>
    <w:basedOn w:val="TableNormal"/>
    <w:uiPriority w:val="62"/>
    <w:semiHidden/>
    <w:unhideWhenUsed/>
    <w:rsid w:val="009E6ED7"/>
    <w:tblPr>
      <w:tblStyleRowBandSize w:val="1"/>
      <w:tblStyleColBandSize w:val="1"/>
      <w:tblInd w:w="0" w:type="dxa"/>
      <w:tblBorders>
        <w:top w:val="single" w:sz="8" w:space="0" w:color="84BD00" w:themeColor="accent2"/>
        <w:left w:val="single" w:sz="8" w:space="0" w:color="84BD00" w:themeColor="accent2"/>
        <w:bottom w:val="single" w:sz="8" w:space="0" w:color="84BD00" w:themeColor="accent2"/>
        <w:right w:val="single" w:sz="8" w:space="0" w:color="84BD00" w:themeColor="accent2"/>
        <w:insideH w:val="single" w:sz="8" w:space="0" w:color="84BD00" w:themeColor="accent2"/>
        <w:insideV w:val="single" w:sz="8" w:space="0" w:color="84BD00"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4BD00" w:themeColor="accent2"/>
          <w:left w:val="single" w:sz="8" w:space="0" w:color="84BD00" w:themeColor="accent2"/>
          <w:bottom w:val="single" w:sz="18" w:space="0" w:color="84BD00" w:themeColor="accent2"/>
          <w:right w:val="single" w:sz="8" w:space="0" w:color="84BD00" w:themeColor="accent2"/>
          <w:insideH w:val="nil"/>
          <w:insideV w:val="single" w:sz="8" w:space="0" w:color="84BD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4BD00" w:themeColor="accent2"/>
          <w:left w:val="single" w:sz="8" w:space="0" w:color="84BD00" w:themeColor="accent2"/>
          <w:bottom w:val="single" w:sz="8" w:space="0" w:color="84BD00" w:themeColor="accent2"/>
          <w:right w:val="single" w:sz="8" w:space="0" w:color="84BD00" w:themeColor="accent2"/>
          <w:insideH w:val="nil"/>
          <w:insideV w:val="single" w:sz="8" w:space="0" w:color="84BD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4BD00" w:themeColor="accent2"/>
          <w:left w:val="single" w:sz="8" w:space="0" w:color="84BD00" w:themeColor="accent2"/>
          <w:bottom w:val="single" w:sz="8" w:space="0" w:color="84BD00" w:themeColor="accent2"/>
          <w:right w:val="single" w:sz="8" w:space="0" w:color="84BD00" w:themeColor="accent2"/>
        </w:tcBorders>
      </w:tcPr>
    </w:tblStylePr>
    <w:tblStylePr w:type="band1Vert">
      <w:tblPr/>
      <w:tcPr>
        <w:tcBorders>
          <w:top w:val="single" w:sz="8" w:space="0" w:color="84BD00" w:themeColor="accent2"/>
          <w:left w:val="single" w:sz="8" w:space="0" w:color="84BD00" w:themeColor="accent2"/>
          <w:bottom w:val="single" w:sz="8" w:space="0" w:color="84BD00" w:themeColor="accent2"/>
          <w:right w:val="single" w:sz="8" w:space="0" w:color="84BD00" w:themeColor="accent2"/>
        </w:tcBorders>
        <w:shd w:val="clear" w:color="auto" w:fill="E7FFAF" w:themeFill="accent2" w:themeFillTint="3F"/>
      </w:tcPr>
    </w:tblStylePr>
    <w:tblStylePr w:type="band1Horz">
      <w:tblPr/>
      <w:tcPr>
        <w:tcBorders>
          <w:top w:val="single" w:sz="8" w:space="0" w:color="84BD00" w:themeColor="accent2"/>
          <w:left w:val="single" w:sz="8" w:space="0" w:color="84BD00" w:themeColor="accent2"/>
          <w:bottom w:val="single" w:sz="8" w:space="0" w:color="84BD00" w:themeColor="accent2"/>
          <w:right w:val="single" w:sz="8" w:space="0" w:color="84BD00" w:themeColor="accent2"/>
          <w:insideV w:val="single" w:sz="8" w:space="0" w:color="84BD00" w:themeColor="accent2"/>
        </w:tcBorders>
        <w:shd w:val="clear" w:color="auto" w:fill="E7FFAF" w:themeFill="accent2" w:themeFillTint="3F"/>
      </w:tcPr>
    </w:tblStylePr>
    <w:tblStylePr w:type="band2Horz">
      <w:tblPr/>
      <w:tcPr>
        <w:tcBorders>
          <w:top w:val="single" w:sz="8" w:space="0" w:color="84BD00" w:themeColor="accent2"/>
          <w:left w:val="single" w:sz="8" w:space="0" w:color="84BD00" w:themeColor="accent2"/>
          <w:bottom w:val="single" w:sz="8" w:space="0" w:color="84BD00" w:themeColor="accent2"/>
          <w:right w:val="single" w:sz="8" w:space="0" w:color="84BD00" w:themeColor="accent2"/>
          <w:insideV w:val="single" w:sz="8" w:space="0" w:color="84BD00" w:themeColor="accent2"/>
        </w:tcBorders>
      </w:tcPr>
    </w:tblStylePr>
  </w:style>
  <w:style w:type="table" w:styleId="LightGrid-Accent3">
    <w:name w:val="Light Grid Accent 3"/>
    <w:basedOn w:val="TableNormal"/>
    <w:uiPriority w:val="62"/>
    <w:semiHidden/>
    <w:unhideWhenUsed/>
    <w:rsid w:val="009E6ED7"/>
    <w:tblPr>
      <w:tblStyleRowBandSize w:val="1"/>
      <w:tblStyleColBandSize w:val="1"/>
      <w:tblInd w:w="0" w:type="dxa"/>
      <w:tblBorders>
        <w:top w:val="single" w:sz="8" w:space="0" w:color="F68B1F" w:themeColor="accent3"/>
        <w:left w:val="single" w:sz="8" w:space="0" w:color="F68B1F" w:themeColor="accent3"/>
        <w:bottom w:val="single" w:sz="8" w:space="0" w:color="F68B1F" w:themeColor="accent3"/>
        <w:right w:val="single" w:sz="8" w:space="0" w:color="F68B1F" w:themeColor="accent3"/>
        <w:insideH w:val="single" w:sz="8" w:space="0" w:color="F68B1F" w:themeColor="accent3"/>
        <w:insideV w:val="single" w:sz="8" w:space="0" w:color="F68B1F"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68B1F" w:themeColor="accent3"/>
          <w:left w:val="single" w:sz="8" w:space="0" w:color="F68B1F" w:themeColor="accent3"/>
          <w:bottom w:val="single" w:sz="18" w:space="0" w:color="F68B1F" w:themeColor="accent3"/>
          <w:right w:val="single" w:sz="8" w:space="0" w:color="F68B1F" w:themeColor="accent3"/>
          <w:insideH w:val="nil"/>
          <w:insideV w:val="single" w:sz="8" w:space="0" w:color="F68B1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68B1F" w:themeColor="accent3"/>
          <w:left w:val="single" w:sz="8" w:space="0" w:color="F68B1F" w:themeColor="accent3"/>
          <w:bottom w:val="single" w:sz="8" w:space="0" w:color="F68B1F" w:themeColor="accent3"/>
          <w:right w:val="single" w:sz="8" w:space="0" w:color="F68B1F" w:themeColor="accent3"/>
          <w:insideH w:val="nil"/>
          <w:insideV w:val="single" w:sz="8" w:space="0" w:color="F68B1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68B1F" w:themeColor="accent3"/>
          <w:left w:val="single" w:sz="8" w:space="0" w:color="F68B1F" w:themeColor="accent3"/>
          <w:bottom w:val="single" w:sz="8" w:space="0" w:color="F68B1F" w:themeColor="accent3"/>
          <w:right w:val="single" w:sz="8" w:space="0" w:color="F68B1F" w:themeColor="accent3"/>
        </w:tcBorders>
      </w:tcPr>
    </w:tblStylePr>
    <w:tblStylePr w:type="band1Vert">
      <w:tblPr/>
      <w:tcPr>
        <w:tcBorders>
          <w:top w:val="single" w:sz="8" w:space="0" w:color="F68B1F" w:themeColor="accent3"/>
          <w:left w:val="single" w:sz="8" w:space="0" w:color="F68B1F" w:themeColor="accent3"/>
          <w:bottom w:val="single" w:sz="8" w:space="0" w:color="F68B1F" w:themeColor="accent3"/>
          <w:right w:val="single" w:sz="8" w:space="0" w:color="F68B1F" w:themeColor="accent3"/>
        </w:tcBorders>
        <w:shd w:val="clear" w:color="auto" w:fill="FCE2C7" w:themeFill="accent3" w:themeFillTint="3F"/>
      </w:tcPr>
    </w:tblStylePr>
    <w:tblStylePr w:type="band1Horz">
      <w:tblPr/>
      <w:tcPr>
        <w:tcBorders>
          <w:top w:val="single" w:sz="8" w:space="0" w:color="F68B1F" w:themeColor="accent3"/>
          <w:left w:val="single" w:sz="8" w:space="0" w:color="F68B1F" w:themeColor="accent3"/>
          <w:bottom w:val="single" w:sz="8" w:space="0" w:color="F68B1F" w:themeColor="accent3"/>
          <w:right w:val="single" w:sz="8" w:space="0" w:color="F68B1F" w:themeColor="accent3"/>
          <w:insideV w:val="single" w:sz="8" w:space="0" w:color="F68B1F" w:themeColor="accent3"/>
        </w:tcBorders>
        <w:shd w:val="clear" w:color="auto" w:fill="FCE2C7" w:themeFill="accent3" w:themeFillTint="3F"/>
      </w:tcPr>
    </w:tblStylePr>
    <w:tblStylePr w:type="band2Horz">
      <w:tblPr/>
      <w:tcPr>
        <w:tcBorders>
          <w:top w:val="single" w:sz="8" w:space="0" w:color="F68B1F" w:themeColor="accent3"/>
          <w:left w:val="single" w:sz="8" w:space="0" w:color="F68B1F" w:themeColor="accent3"/>
          <w:bottom w:val="single" w:sz="8" w:space="0" w:color="F68B1F" w:themeColor="accent3"/>
          <w:right w:val="single" w:sz="8" w:space="0" w:color="F68B1F" w:themeColor="accent3"/>
          <w:insideV w:val="single" w:sz="8" w:space="0" w:color="F68B1F" w:themeColor="accent3"/>
        </w:tcBorders>
      </w:tcPr>
    </w:tblStylePr>
  </w:style>
  <w:style w:type="table" w:styleId="LightGrid-Accent4">
    <w:name w:val="Light Grid Accent 4"/>
    <w:basedOn w:val="TableNormal"/>
    <w:uiPriority w:val="62"/>
    <w:semiHidden/>
    <w:unhideWhenUsed/>
    <w:rsid w:val="009E6ED7"/>
    <w:tblPr>
      <w:tblStyleRowBandSize w:val="1"/>
      <w:tblStyleColBandSize w:val="1"/>
      <w:tblInd w:w="0" w:type="dxa"/>
      <w:tblBorders>
        <w:top w:val="single" w:sz="8" w:space="0" w:color="9E007E" w:themeColor="accent4"/>
        <w:left w:val="single" w:sz="8" w:space="0" w:color="9E007E" w:themeColor="accent4"/>
        <w:bottom w:val="single" w:sz="8" w:space="0" w:color="9E007E" w:themeColor="accent4"/>
        <w:right w:val="single" w:sz="8" w:space="0" w:color="9E007E" w:themeColor="accent4"/>
        <w:insideH w:val="single" w:sz="8" w:space="0" w:color="9E007E" w:themeColor="accent4"/>
        <w:insideV w:val="single" w:sz="8" w:space="0" w:color="9E007E"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E007E" w:themeColor="accent4"/>
          <w:left w:val="single" w:sz="8" w:space="0" w:color="9E007E" w:themeColor="accent4"/>
          <w:bottom w:val="single" w:sz="18" w:space="0" w:color="9E007E" w:themeColor="accent4"/>
          <w:right w:val="single" w:sz="8" w:space="0" w:color="9E007E" w:themeColor="accent4"/>
          <w:insideH w:val="nil"/>
          <w:insideV w:val="single" w:sz="8" w:space="0" w:color="9E007E"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E007E" w:themeColor="accent4"/>
          <w:left w:val="single" w:sz="8" w:space="0" w:color="9E007E" w:themeColor="accent4"/>
          <w:bottom w:val="single" w:sz="8" w:space="0" w:color="9E007E" w:themeColor="accent4"/>
          <w:right w:val="single" w:sz="8" w:space="0" w:color="9E007E" w:themeColor="accent4"/>
          <w:insideH w:val="nil"/>
          <w:insideV w:val="single" w:sz="8" w:space="0" w:color="9E007E"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E007E" w:themeColor="accent4"/>
          <w:left w:val="single" w:sz="8" w:space="0" w:color="9E007E" w:themeColor="accent4"/>
          <w:bottom w:val="single" w:sz="8" w:space="0" w:color="9E007E" w:themeColor="accent4"/>
          <w:right w:val="single" w:sz="8" w:space="0" w:color="9E007E" w:themeColor="accent4"/>
        </w:tcBorders>
      </w:tcPr>
    </w:tblStylePr>
    <w:tblStylePr w:type="band1Vert">
      <w:tblPr/>
      <w:tcPr>
        <w:tcBorders>
          <w:top w:val="single" w:sz="8" w:space="0" w:color="9E007E" w:themeColor="accent4"/>
          <w:left w:val="single" w:sz="8" w:space="0" w:color="9E007E" w:themeColor="accent4"/>
          <w:bottom w:val="single" w:sz="8" w:space="0" w:color="9E007E" w:themeColor="accent4"/>
          <w:right w:val="single" w:sz="8" w:space="0" w:color="9E007E" w:themeColor="accent4"/>
        </w:tcBorders>
        <w:shd w:val="clear" w:color="auto" w:fill="FFA8ED" w:themeFill="accent4" w:themeFillTint="3F"/>
      </w:tcPr>
    </w:tblStylePr>
    <w:tblStylePr w:type="band1Horz">
      <w:tblPr/>
      <w:tcPr>
        <w:tcBorders>
          <w:top w:val="single" w:sz="8" w:space="0" w:color="9E007E" w:themeColor="accent4"/>
          <w:left w:val="single" w:sz="8" w:space="0" w:color="9E007E" w:themeColor="accent4"/>
          <w:bottom w:val="single" w:sz="8" w:space="0" w:color="9E007E" w:themeColor="accent4"/>
          <w:right w:val="single" w:sz="8" w:space="0" w:color="9E007E" w:themeColor="accent4"/>
          <w:insideV w:val="single" w:sz="8" w:space="0" w:color="9E007E" w:themeColor="accent4"/>
        </w:tcBorders>
        <w:shd w:val="clear" w:color="auto" w:fill="FFA8ED" w:themeFill="accent4" w:themeFillTint="3F"/>
      </w:tcPr>
    </w:tblStylePr>
    <w:tblStylePr w:type="band2Horz">
      <w:tblPr/>
      <w:tcPr>
        <w:tcBorders>
          <w:top w:val="single" w:sz="8" w:space="0" w:color="9E007E" w:themeColor="accent4"/>
          <w:left w:val="single" w:sz="8" w:space="0" w:color="9E007E" w:themeColor="accent4"/>
          <w:bottom w:val="single" w:sz="8" w:space="0" w:color="9E007E" w:themeColor="accent4"/>
          <w:right w:val="single" w:sz="8" w:space="0" w:color="9E007E" w:themeColor="accent4"/>
          <w:insideV w:val="single" w:sz="8" w:space="0" w:color="9E007E" w:themeColor="accent4"/>
        </w:tcBorders>
      </w:tcPr>
    </w:tblStylePr>
  </w:style>
  <w:style w:type="table" w:styleId="LightGrid-Accent5">
    <w:name w:val="Light Grid Accent 5"/>
    <w:basedOn w:val="TableNormal"/>
    <w:uiPriority w:val="62"/>
    <w:semiHidden/>
    <w:unhideWhenUsed/>
    <w:rsid w:val="009E6ED7"/>
    <w:tblPr>
      <w:tblStyleRowBandSize w:val="1"/>
      <w:tblStyleColBandSize w:val="1"/>
      <w:tblInd w:w="0" w:type="dxa"/>
      <w:tblBorders>
        <w:top w:val="single" w:sz="8" w:space="0" w:color="FFE512" w:themeColor="accent5"/>
        <w:left w:val="single" w:sz="8" w:space="0" w:color="FFE512" w:themeColor="accent5"/>
        <w:bottom w:val="single" w:sz="8" w:space="0" w:color="FFE512" w:themeColor="accent5"/>
        <w:right w:val="single" w:sz="8" w:space="0" w:color="FFE512" w:themeColor="accent5"/>
        <w:insideH w:val="single" w:sz="8" w:space="0" w:color="FFE512" w:themeColor="accent5"/>
        <w:insideV w:val="single" w:sz="8" w:space="0" w:color="FFE512"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E512" w:themeColor="accent5"/>
          <w:left w:val="single" w:sz="8" w:space="0" w:color="FFE512" w:themeColor="accent5"/>
          <w:bottom w:val="single" w:sz="18" w:space="0" w:color="FFE512" w:themeColor="accent5"/>
          <w:right w:val="single" w:sz="8" w:space="0" w:color="FFE512" w:themeColor="accent5"/>
          <w:insideH w:val="nil"/>
          <w:insideV w:val="single" w:sz="8" w:space="0" w:color="FFE512"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E512" w:themeColor="accent5"/>
          <w:left w:val="single" w:sz="8" w:space="0" w:color="FFE512" w:themeColor="accent5"/>
          <w:bottom w:val="single" w:sz="8" w:space="0" w:color="FFE512" w:themeColor="accent5"/>
          <w:right w:val="single" w:sz="8" w:space="0" w:color="FFE512" w:themeColor="accent5"/>
          <w:insideH w:val="nil"/>
          <w:insideV w:val="single" w:sz="8" w:space="0" w:color="FFE512"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E512" w:themeColor="accent5"/>
          <w:left w:val="single" w:sz="8" w:space="0" w:color="FFE512" w:themeColor="accent5"/>
          <w:bottom w:val="single" w:sz="8" w:space="0" w:color="FFE512" w:themeColor="accent5"/>
          <w:right w:val="single" w:sz="8" w:space="0" w:color="FFE512" w:themeColor="accent5"/>
        </w:tcBorders>
      </w:tcPr>
    </w:tblStylePr>
    <w:tblStylePr w:type="band1Vert">
      <w:tblPr/>
      <w:tcPr>
        <w:tcBorders>
          <w:top w:val="single" w:sz="8" w:space="0" w:color="FFE512" w:themeColor="accent5"/>
          <w:left w:val="single" w:sz="8" w:space="0" w:color="FFE512" w:themeColor="accent5"/>
          <w:bottom w:val="single" w:sz="8" w:space="0" w:color="FFE512" w:themeColor="accent5"/>
          <w:right w:val="single" w:sz="8" w:space="0" w:color="FFE512" w:themeColor="accent5"/>
        </w:tcBorders>
        <w:shd w:val="clear" w:color="auto" w:fill="FFF8C4" w:themeFill="accent5" w:themeFillTint="3F"/>
      </w:tcPr>
    </w:tblStylePr>
    <w:tblStylePr w:type="band1Horz">
      <w:tblPr/>
      <w:tcPr>
        <w:tcBorders>
          <w:top w:val="single" w:sz="8" w:space="0" w:color="FFE512" w:themeColor="accent5"/>
          <w:left w:val="single" w:sz="8" w:space="0" w:color="FFE512" w:themeColor="accent5"/>
          <w:bottom w:val="single" w:sz="8" w:space="0" w:color="FFE512" w:themeColor="accent5"/>
          <w:right w:val="single" w:sz="8" w:space="0" w:color="FFE512" w:themeColor="accent5"/>
          <w:insideV w:val="single" w:sz="8" w:space="0" w:color="FFE512" w:themeColor="accent5"/>
        </w:tcBorders>
        <w:shd w:val="clear" w:color="auto" w:fill="FFF8C4" w:themeFill="accent5" w:themeFillTint="3F"/>
      </w:tcPr>
    </w:tblStylePr>
    <w:tblStylePr w:type="band2Horz">
      <w:tblPr/>
      <w:tcPr>
        <w:tcBorders>
          <w:top w:val="single" w:sz="8" w:space="0" w:color="FFE512" w:themeColor="accent5"/>
          <w:left w:val="single" w:sz="8" w:space="0" w:color="FFE512" w:themeColor="accent5"/>
          <w:bottom w:val="single" w:sz="8" w:space="0" w:color="FFE512" w:themeColor="accent5"/>
          <w:right w:val="single" w:sz="8" w:space="0" w:color="FFE512" w:themeColor="accent5"/>
          <w:insideV w:val="single" w:sz="8" w:space="0" w:color="FFE512" w:themeColor="accent5"/>
        </w:tcBorders>
      </w:tcPr>
    </w:tblStylePr>
  </w:style>
  <w:style w:type="table" w:styleId="LightGrid-Accent6">
    <w:name w:val="Light Grid Accent 6"/>
    <w:basedOn w:val="TableNormal"/>
    <w:uiPriority w:val="62"/>
    <w:semiHidden/>
    <w:unhideWhenUsed/>
    <w:rsid w:val="009E6ED7"/>
    <w:tblPr>
      <w:tblStyleRowBandSize w:val="1"/>
      <w:tblStyleColBandSize w:val="1"/>
      <w:tblInd w:w="0" w:type="dxa"/>
      <w:tblBorders>
        <w:top w:val="single" w:sz="8" w:space="0" w:color="8C8279" w:themeColor="accent6"/>
        <w:left w:val="single" w:sz="8" w:space="0" w:color="8C8279" w:themeColor="accent6"/>
        <w:bottom w:val="single" w:sz="8" w:space="0" w:color="8C8279" w:themeColor="accent6"/>
        <w:right w:val="single" w:sz="8" w:space="0" w:color="8C8279" w:themeColor="accent6"/>
        <w:insideH w:val="single" w:sz="8" w:space="0" w:color="8C8279" w:themeColor="accent6"/>
        <w:insideV w:val="single" w:sz="8" w:space="0" w:color="8C8279"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C8279" w:themeColor="accent6"/>
          <w:left w:val="single" w:sz="8" w:space="0" w:color="8C8279" w:themeColor="accent6"/>
          <w:bottom w:val="single" w:sz="18" w:space="0" w:color="8C8279" w:themeColor="accent6"/>
          <w:right w:val="single" w:sz="8" w:space="0" w:color="8C8279" w:themeColor="accent6"/>
          <w:insideH w:val="nil"/>
          <w:insideV w:val="single" w:sz="8" w:space="0" w:color="8C827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C8279" w:themeColor="accent6"/>
          <w:left w:val="single" w:sz="8" w:space="0" w:color="8C8279" w:themeColor="accent6"/>
          <w:bottom w:val="single" w:sz="8" w:space="0" w:color="8C8279" w:themeColor="accent6"/>
          <w:right w:val="single" w:sz="8" w:space="0" w:color="8C8279" w:themeColor="accent6"/>
          <w:insideH w:val="nil"/>
          <w:insideV w:val="single" w:sz="8" w:space="0" w:color="8C827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C8279" w:themeColor="accent6"/>
          <w:left w:val="single" w:sz="8" w:space="0" w:color="8C8279" w:themeColor="accent6"/>
          <w:bottom w:val="single" w:sz="8" w:space="0" w:color="8C8279" w:themeColor="accent6"/>
          <w:right w:val="single" w:sz="8" w:space="0" w:color="8C8279" w:themeColor="accent6"/>
        </w:tcBorders>
      </w:tcPr>
    </w:tblStylePr>
    <w:tblStylePr w:type="band1Vert">
      <w:tblPr/>
      <w:tcPr>
        <w:tcBorders>
          <w:top w:val="single" w:sz="8" w:space="0" w:color="8C8279" w:themeColor="accent6"/>
          <w:left w:val="single" w:sz="8" w:space="0" w:color="8C8279" w:themeColor="accent6"/>
          <w:bottom w:val="single" w:sz="8" w:space="0" w:color="8C8279" w:themeColor="accent6"/>
          <w:right w:val="single" w:sz="8" w:space="0" w:color="8C8279" w:themeColor="accent6"/>
        </w:tcBorders>
        <w:shd w:val="clear" w:color="auto" w:fill="E2E0DD" w:themeFill="accent6" w:themeFillTint="3F"/>
      </w:tcPr>
    </w:tblStylePr>
    <w:tblStylePr w:type="band1Horz">
      <w:tblPr/>
      <w:tcPr>
        <w:tcBorders>
          <w:top w:val="single" w:sz="8" w:space="0" w:color="8C8279" w:themeColor="accent6"/>
          <w:left w:val="single" w:sz="8" w:space="0" w:color="8C8279" w:themeColor="accent6"/>
          <w:bottom w:val="single" w:sz="8" w:space="0" w:color="8C8279" w:themeColor="accent6"/>
          <w:right w:val="single" w:sz="8" w:space="0" w:color="8C8279" w:themeColor="accent6"/>
          <w:insideV w:val="single" w:sz="8" w:space="0" w:color="8C8279" w:themeColor="accent6"/>
        </w:tcBorders>
        <w:shd w:val="clear" w:color="auto" w:fill="E2E0DD" w:themeFill="accent6" w:themeFillTint="3F"/>
      </w:tcPr>
    </w:tblStylePr>
    <w:tblStylePr w:type="band2Horz">
      <w:tblPr/>
      <w:tcPr>
        <w:tcBorders>
          <w:top w:val="single" w:sz="8" w:space="0" w:color="8C8279" w:themeColor="accent6"/>
          <w:left w:val="single" w:sz="8" w:space="0" w:color="8C8279" w:themeColor="accent6"/>
          <w:bottom w:val="single" w:sz="8" w:space="0" w:color="8C8279" w:themeColor="accent6"/>
          <w:right w:val="single" w:sz="8" w:space="0" w:color="8C8279" w:themeColor="accent6"/>
          <w:insideV w:val="single" w:sz="8" w:space="0" w:color="8C8279" w:themeColor="accent6"/>
        </w:tcBorders>
      </w:tcPr>
    </w:tblStylePr>
  </w:style>
  <w:style w:type="table" w:styleId="LightList">
    <w:name w:val="Light List"/>
    <w:basedOn w:val="TableNormal"/>
    <w:uiPriority w:val="61"/>
    <w:semiHidden/>
    <w:unhideWhenUsed/>
    <w:rsid w:val="009E6ED7"/>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9E6ED7"/>
    <w:tblPr>
      <w:tblStyleRowBandSize w:val="1"/>
      <w:tblStyleColBandSize w:val="1"/>
      <w:tblInd w:w="0" w:type="dxa"/>
      <w:tblBorders>
        <w:top w:val="single" w:sz="8" w:space="0" w:color="00B5E2" w:themeColor="accent1"/>
        <w:left w:val="single" w:sz="8" w:space="0" w:color="00B5E2" w:themeColor="accent1"/>
        <w:bottom w:val="single" w:sz="8" w:space="0" w:color="00B5E2" w:themeColor="accent1"/>
        <w:right w:val="single" w:sz="8" w:space="0" w:color="00B5E2"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B5E2" w:themeFill="accent1"/>
      </w:tcPr>
    </w:tblStylePr>
    <w:tblStylePr w:type="lastRow">
      <w:pPr>
        <w:spacing w:before="0" w:after="0" w:line="240" w:lineRule="auto"/>
      </w:pPr>
      <w:rPr>
        <w:b/>
        <w:bCs/>
      </w:rPr>
      <w:tblPr/>
      <w:tcPr>
        <w:tcBorders>
          <w:top w:val="double" w:sz="6" w:space="0" w:color="00B5E2" w:themeColor="accent1"/>
          <w:left w:val="single" w:sz="8" w:space="0" w:color="00B5E2" w:themeColor="accent1"/>
          <w:bottom w:val="single" w:sz="8" w:space="0" w:color="00B5E2" w:themeColor="accent1"/>
          <w:right w:val="single" w:sz="8" w:space="0" w:color="00B5E2" w:themeColor="accent1"/>
        </w:tcBorders>
      </w:tcPr>
    </w:tblStylePr>
    <w:tblStylePr w:type="firstCol">
      <w:rPr>
        <w:b/>
        <w:bCs/>
      </w:rPr>
    </w:tblStylePr>
    <w:tblStylePr w:type="lastCol">
      <w:rPr>
        <w:b/>
        <w:bCs/>
      </w:rPr>
    </w:tblStylePr>
    <w:tblStylePr w:type="band1Vert">
      <w:tblPr/>
      <w:tcPr>
        <w:tcBorders>
          <w:top w:val="single" w:sz="8" w:space="0" w:color="00B5E2" w:themeColor="accent1"/>
          <w:left w:val="single" w:sz="8" w:space="0" w:color="00B5E2" w:themeColor="accent1"/>
          <w:bottom w:val="single" w:sz="8" w:space="0" w:color="00B5E2" w:themeColor="accent1"/>
          <w:right w:val="single" w:sz="8" w:space="0" w:color="00B5E2" w:themeColor="accent1"/>
        </w:tcBorders>
      </w:tcPr>
    </w:tblStylePr>
    <w:tblStylePr w:type="band1Horz">
      <w:tblPr/>
      <w:tcPr>
        <w:tcBorders>
          <w:top w:val="single" w:sz="8" w:space="0" w:color="00B5E2" w:themeColor="accent1"/>
          <w:left w:val="single" w:sz="8" w:space="0" w:color="00B5E2" w:themeColor="accent1"/>
          <w:bottom w:val="single" w:sz="8" w:space="0" w:color="00B5E2" w:themeColor="accent1"/>
          <w:right w:val="single" w:sz="8" w:space="0" w:color="00B5E2" w:themeColor="accent1"/>
        </w:tcBorders>
      </w:tcPr>
    </w:tblStylePr>
  </w:style>
  <w:style w:type="table" w:styleId="LightList-Accent2">
    <w:name w:val="Light List Accent 2"/>
    <w:basedOn w:val="TableNormal"/>
    <w:uiPriority w:val="61"/>
    <w:semiHidden/>
    <w:unhideWhenUsed/>
    <w:rsid w:val="009E6ED7"/>
    <w:tblPr>
      <w:tblStyleRowBandSize w:val="1"/>
      <w:tblStyleColBandSize w:val="1"/>
      <w:tblInd w:w="0" w:type="dxa"/>
      <w:tblBorders>
        <w:top w:val="single" w:sz="8" w:space="0" w:color="84BD00" w:themeColor="accent2"/>
        <w:left w:val="single" w:sz="8" w:space="0" w:color="84BD00" w:themeColor="accent2"/>
        <w:bottom w:val="single" w:sz="8" w:space="0" w:color="84BD00" w:themeColor="accent2"/>
        <w:right w:val="single" w:sz="8" w:space="0" w:color="84BD00"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4BD00" w:themeFill="accent2"/>
      </w:tcPr>
    </w:tblStylePr>
    <w:tblStylePr w:type="lastRow">
      <w:pPr>
        <w:spacing w:before="0" w:after="0" w:line="240" w:lineRule="auto"/>
      </w:pPr>
      <w:rPr>
        <w:b/>
        <w:bCs/>
      </w:rPr>
      <w:tblPr/>
      <w:tcPr>
        <w:tcBorders>
          <w:top w:val="double" w:sz="6" w:space="0" w:color="84BD00" w:themeColor="accent2"/>
          <w:left w:val="single" w:sz="8" w:space="0" w:color="84BD00" w:themeColor="accent2"/>
          <w:bottom w:val="single" w:sz="8" w:space="0" w:color="84BD00" w:themeColor="accent2"/>
          <w:right w:val="single" w:sz="8" w:space="0" w:color="84BD00" w:themeColor="accent2"/>
        </w:tcBorders>
      </w:tcPr>
    </w:tblStylePr>
    <w:tblStylePr w:type="firstCol">
      <w:rPr>
        <w:b/>
        <w:bCs/>
      </w:rPr>
    </w:tblStylePr>
    <w:tblStylePr w:type="lastCol">
      <w:rPr>
        <w:b/>
        <w:bCs/>
      </w:rPr>
    </w:tblStylePr>
    <w:tblStylePr w:type="band1Vert">
      <w:tblPr/>
      <w:tcPr>
        <w:tcBorders>
          <w:top w:val="single" w:sz="8" w:space="0" w:color="84BD00" w:themeColor="accent2"/>
          <w:left w:val="single" w:sz="8" w:space="0" w:color="84BD00" w:themeColor="accent2"/>
          <w:bottom w:val="single" w:sz="8" w:space="0" w:color="84BD00" w:themeColor="accent2"/>
          <w:right w:val="single" w:sz="8" w:space="0" w:color="84BD00" w:themeColor="accent2"/>
        </w:tcBorders>
      </w:tcPr>
    </w:tblStylePr>
    <w:tblStylePr w:type="band1Horz">
      <w:tblPr/>
      <w:tcPr>
        <w:tcBorders>
          <w:top w:val="single" w:sz="8" w:space="0" w:color="84BD00" w:themeColor="accent2"/>
          <w:left w:val="single" w:sz="8" w:space="0" w:color="84BD00" w:themeColor="accent2"/>
          <w:bottom w:val="single" w:sz="8" w:space="0" w:color="84BD00" w:themeColor="accent2"/>
          <w:right w:val="single" w:sz="8" w:space="0" w:color="84BD00" w:themeColor="accent2"/>
        </w:tcBorders>
      </w:tcPr>
    </w:tblStylePr>
  </w:style>
  <w:style w:type="table" w:styleId="LightList-Accent3">
    <w:name w:val="Light List Accent 3"/>
    <w:basedOn w:val="TableNormal"/>
    <w:uiPriority w:val="61"/>
    <w:semiHidden/>
    <w:unhideWhenUsed/>
    <w:rsid w:val="009E6ED7"/>
    <w:tblPr>
      <w:tblStyleRowBandSize w:val="1"/>
      <w:tblStyleColBandSize w:val="1"/>
      <w:tblInd w:w="0" w:type="dxa"/>
      <w:tblBorders>
        <w:top w:val="single" w:sz="8" w:space="0" w:color="F68B1F" w:themeColor="accent3"/>
        <w:left w:val="single" w:sz="8" w:space="0" w:color="F68B1F" w:themeColor="accent3"/>
        <w:bottom w:val="single" w:sz="8" w:space="0" w:color="F68B1F" w:themeColor="accent3"/>
        <w:right w:val="single" w:sz="8" w:space="0" w:color="F68B1F"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68B1F" w:themeFill="accent3"/>
      </w:tcPr>
    </w:tblStylePr>
    <w:tblStylePr w:type="lastRow">
      <w:pPr>
        <w:spacing w:before="0" w:after="0" w:line="240" w:lineRule="auto"/>
      </w:pPr>
      <w:rPr>
        <w:b/>
        <w:bCs/>
      </w:rPr>
      <w:tblPr/>
      <w:tcPr>
        <w:tcBorders>
          <w:top w:val="double" w:sz="6" w:space="0" w:color="F68B1F" w:themeColor="accent3"/>
          <w:left w:val="single" w:sz="8" w:space="0" w:color="F68B1F" w:themeColor="accent3"/>
          <w:bottom w:val="single" w:sz="8" w:space="0" w:color="F68B1F" w:themeColor="accent3"/>
          <w:right w:val="single" w:sz="8" w:space="0" w:color="F68B1F" w:themeColor="accent3"/>
        </w:tcBorders>
      </w:tcPr>
    </w:tblStylePr>
    <w:tblStylePr w:type="firstCol">
      <w:rPr>
        <w:b/>
        <w:bCs/>
      </w:rPr>
    </w:tblStylePr>
    <w:tblStylePr w:type="lastCol">
      <w:rPr>
        <w:b/>
        <w:bCs/>
      </w:rPr>
    </w:tblStylePr>
    <w:tblStylePr w:type="band1Vert">
      <w:tblPr/>
      <w:tcPr>
        <w:tcBorders>
          <w:top w:val="single" w:sz="8" w:space="0" w:color="F68B1F" w:themeColor="accent3"/>
          <w:left w:val="single" w:sz="8" w:space="0" w:color="F68B1F" w:themeColor="accent3"/>
          <w:bottom w:val="single" w:sz="8" w:space="0" w:color="F68B1F" w:themeColor="accent3"/>
          <w:right w:val="single" w:sz="8" w:space="0" w:color="F68B1F" w:themeColor="accent3"/>
        </w:tcBorders>
      </w:tcPr>
    </w:tblStylePr>
    <w:tblStylePr w:type="band1Horz">
      <w:tblPr/>
      <w:tcPr>
        <w:tcBorders>
          <w:top w:val="single" w:sz="8" w:space="0" w:color="F68B1F" w:themeColor="accent3"/>
          <w:left w:val="single" w:sz="8" w:space="0" w:color="F68B1F" w:themeColor="accent3"/>
          <w:bottom w:val="single" w:sz="8" w:space="0" w:color="F68B1F" w:themeColor="accent3"/>
          <w:right w:val="single" w:sz="8" w:space="0" w:color="F68B1F" w:themeColor="accent3"/>
        </w:tcBorders>
      </w:tcPr>
    </w:tblStylePr>
  </w:style>
  <w:style w:type="table" w:styleId="LightList-Accent4">
    <w:name w:val="Light List Accent 4"/>
    <w:basedOn w:val="TableNormal"/>
    <w:uiPriority w:val="61"/>
    <w:semiHidden/>
    <w:unhideWhenUsed/>
    <w:rsid w:val="009E6ED7"/>
    <w:tblPr>
      <w:tblStyleRowBandSize w:val="1"/>
      <w:tblStyleColBandSize w:val="1"/>
      <w:tblInd w:w="0" w:type="dxa"/>
      <w:tblBorders>
        <w:top w:val="single" w:sz="8" w:space="0" w:color="9E007E" w:themeColor="accent4"/>
        <w:left w:val="single" w:sz="8" w:space="0" w:color="9E007E" w:themeColor="accent4"/>
        <w:bottom w:val="single" w:sz="8" w:space="0" w:color="9E007E" w:themeColor="accent4"/>
        <w:right w:val="single" w:sz="8" w:space="0" w:color="9E007E"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E007E" w:themeFill="accent4"/>
      </w:tcPr>
    </w:tblStylePr>
    <w:tblStylePr w:type="lastRow">
      <w:pPr>
        <w:spacing w:before="0" w:after="0" w:line="240" w:lineRule="auto"/>
      </w:pPr>
      <w:rPr>
        <w:b/>
        <w:bCs/>
      </w:rPr>
      <w:tblPr/>
      <w:tcPr>
        <w:tcBorders>
          <w:top w:val="double" w:sz="6" w:space="0" w:color="9E007E" w:themeColor="accent4"/>
          <w:left w:val="single" w:sz="8" w:space="0" w:color="9E007E" w:themeColor="accent4"/>
          <w:bottom w:val="single" w:sz="8" w:space="0" w:color="9E007E" w:themeColor="accent4"/>
          <w:right w:val="single" w:sz="8" w:space="0" w:color="9E007E" w:themeColor="accent4"/>
        </w:tcBorders>
      </w:tcPr>
    </w:tblStylePr>
    <w:tblStylePr w:type="firstCol">
      <w:rPr>
        <w:b/>
        <w:bCs/>
      </w:rPr>
    </w:tblStylePr>
    <w:tblStylePr w:type="lastCol">
      <w:rPr>
        <w:b/>
        <w:bCs/>
      </w:rPr>
    </w:tblStylePr>
    <w:tblStylePr w:type="band1Vert">
      <w:tblPr/>
      <w:tcPr>
        <w:tcBorders>
          <w:top w:val="single" w:sz="8" w:space="0" w:color="9E007E" w:themeColor="accent4"/>
          <w:left w:val="single" w:sz="8" w:space="0" w:color="9E007E" w:themeColor="accent4"/>
          <w:bottom w:val="single" w:sz="8" w:space="0" w:color="9E007E" w:themeColor="accent4"/>
          <w:right w:val="single" w:sz="8" w:space="0" w:color="9E007E" w:themeColor="accent4"/>
        </w:tcBorders>
      </w:tcPr>
    </w:tblStylePr>
    <w:tblStylePr w:type="band1Horz">
      <w:tblPr/>
      <w:tcPr>
        <w:tcBorders>
          <w:top w:val="single" w:sz="8" w:space="0" w:color="9E007E" w:themeColor="accent4"/>
          <w:left w:val="single" w:sz="8" w:space="0" w:color="9E007E" w:themeColor="accent4"/>
          <w:bottom w:val="single" w:sz="8" w:space="0" w:color="9E007E" w:themeColor="accent4"/>
          <w:right w:val="single" w:sz="8" w:space="0" w:color="9E007E" w:themeColor="accent4"/>
        </w:tcBorders>
      </w:tcPr>
    </w:tblStylePr>
  </w:style>
  <w:style w:type="table" w:styleId="LightList-Accent5">
    <w:name w:val="Light List Accent 5"/>
    <w:basedOn w:val="TableNormal"/>
    <w:uiPriority w:val="61"/>
    <w:semiHidden/>
    <w:unhideWhenUsed/>
    <w:rsid w:val="009E6ED7"/>
    <w:tblPr>
      <w:tblStyleRowBandSize w:val="1"/>
      <w:tblStyleColBandSize w:val="1"/>
      <w:tblInd w:w="0" w:type="dxa"/>
      <w:tblBorders>
        <w:top w:val="single" w:sz="8" w:space="0" w:color="FFE512" w:themeColor="accent5"/>
        <w:left w:val="single" w:sz="8" w:space="0" w:color="FFE512" w:themeColor="accent5"/>
        <w:bottom w:val="single" w:sz="8" w:space="0" w:color="FFE512" w:themeColor="accent5"/>
        <w:right w:val="single" w:sz="8" w:space="0" w:color="FFE512"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FE512" w:themeFill="accent5"/>
      </w:tcPr>
    </w:tblStylePr>
    <w:tblStylePr w:type="lastRow">
      <w:pPr>
        <w:spacing w:before="0" w:after="0" w:line="240" w:lineRule="auto"/>
      </w:pPr>
      <w:rPr>
        <w:b/>
        <w:bCs/>
      </w:rPr>
      <w:tblPr/>
      <w:tcPr>
        <w:tcBorders>
          <w:top w:val="double" w:sz="6" w:space="0" w:color="FFE512" w:themeColor="accent5"/>
          <w:left w:val="single" w:sz="8" w:space="0" w:color="FFE512" w:themeColor="accent5"/>
          <w:bottom w:val="single" w:sz="8" w:space="0" w:color="FFE512" w:themeColor="accent5"/>
          <w:right w:val="single" w:sz="8" w:space="0" w:color="FFE512" w:themeColor="accent5"/>
        </w:tcBorders>
      </w:tcPr>
    </w:tblStylePr>
    <w:tblStylePr w:type="firstCol">
      <w:rPr>
        <w:b/>
        <w:bCs/>
      </w:rPr>
    </w:tblStylePr>
    <w:tblStylePr w:type="lastCol">
      <w:rPr>
        <w:b/>
        <w:bCs/>
      </w:rPr>
    </w:tblStylePr>
    <w:tblStylePr w:type="band1Vert">
      <w:tblPr/>
      <w:tcPr>
        <w:tcBorders>
          <w:top w:val="single" w:sz="8" w:space="0" w:color="FFE512" w:themeColor="accent5"/>
          <w:left w:val="single" w:sz="8" w:space="0" w:color="FFE512" w:themeColor="accent5"/>
          <w:bottom w:val="single" w:sz="8" w:space="0" w:color="FFE512" w:themeColor="accent5"/>
          <w:right w:val="single" w:sz="8" w:space="0" w:color="FFE512" w:themeColor="accent5"/>
        </w:tcBorders>
      </w:tcPr>
    </w:tblStylePr>
    <w:tblStylePr w:type="band1Horz">
      <w:tblPr/>
      <w:tcPr>
        <w:tcBorders>
          <w:top w:val="single" w:sz="8" w:space="0" w:color="FFE512" w:themeColor="accent5"/>
          <w:left w:val="single" w:sz="8" w:space="0" w:color="FFE512" w:themeColor="accent5"/>
          <w:bottom w:val="single" w:sz="8" w:space="0" w:color="FFE512" w:themeColor="accent5"/>
          <w:right w:val="single" w:sz="8" w:space="0" w:color="FFE512" w:themeColor="accent5"/>
        </w:tcBorders>
      </w:tcPr>
    </w:tblStylePr>
  </w:style>
  <w:style w:type="table" w:styleId="LightList-Accent6">
    <w:name w:val="Light List Accent 6"/>
    <w:basedOn w:val="TableNormal"/>
    <w:uiPriority w:val="61"/>
    <w:semiHidden/>
    <w:unhideWhenUsed/>
    <w:rsid w:val="009E6ED7"/>
    <w:tblPr>
      <w:tblStyleRowBandSize w:val="1"/>
      <w:tblStyleColBandSize w:val="1"/>
      <w:tblInd w:w="0" w:type="dxa"/>
      <w:tblBorders>
        <w:top w:val="single" w:sz="8" w:space="0" w:color="8C8279" w:themeColor="accent6"/>
        <w:left w:val="single" w:sz="8" w:space="0" w:color="8C8279" w:themeColor="accent6"/>
        <w:bottom w:val="single" w:sz="8" w:space="0" w:color="8C8279" w:themeColor="accent6"/>
        <w:right w:val="single" w:sz="8" w:space="0" w:color="8C8279"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C8279" w:themeFill="accent6"/>
      </w:tcPr>
    </w:tblStylePr>
    <w:tblStylePr w:type="lastRow">
      <w:pPr>
        <w:spacing w:before="0" w:after="0" w:line="240" w:lineRule="auto"/>
      </w:pPr>
      <w:rPr>
        <w:b/>
        <w:bCs/>
      </w:rPr>
      <w:tblPr/>
      <w:tcPr>
        <w:tcBorders>
          <w:top w:val="double" w:sz="6" w:space="0" w:color="8C8279" w:themeColor="accent6"/>
          <w:left w:val="single" w:sz="8" w:space="0" w:color="8C8279" w:themeColor="accent6"/>
          <w:bottom w:val="single" w:sz="8" w:space="0" w:color="8C8279" w:themeColor="accent6"/>
          <w:right w:val="single" w:sz="8" w:space="0" w:color="8C8279" w:themeColor="accent6"/>
        </w:tcBorders>
      </w:tcPr>
    </w:tblStylePr>
    <w:tblStylePr w:type="firstCol">
      <w:rPr>
        <w:b/>
        <w:bCs/>
      </w:rPr>
    </w:tblStylePr>
    <w:tblStylePr w:type="lastCol">
      <w:rPr>
        <w:b/>
        <w:bCs/>
      </w:rPr>
    </w:tblStylePr>
    <w:tblStylePr w:type="band1Vert">
      <w:tblPr/>
      <w:tcPr>
        <w:tcBorders>
          <w:top w:val="single" w:sz="8" w:space="0" w:color="8C8279" w:themeColor="accent6"/>
          <w:left w:val="single" w:sz="8" w:space="0" w:color="8C8279" w:themeColor="accent6"/>
          <w:bottom w:val="single" w:sz="8" w:space="0" w:color="8C8279" w:themeColor="accent6"/>
          <w:right w:val="single" w:sz="8" w:space="0" w:color="8C8279" w:themeColor="accent6"/>
        </w:tcBorders>
      </w:tcPr>
    </w:tblStylePr>
    <w:tblStylePr w:type="band1Horz">
      <w:tblPr/>
      <w:tcPr>
        <w:tcBorders>
          <w:top w:val="single" w:sz="8" w:space="0" w:color="8C8279" w:themeColor="accent6"/>
          <w:left w:val="single" w:sz="8" w:space="0" w:color="8C8279" w:themeColor="accent6"/>
          <w:bottom w:val="single" w:sz="8" w:space="0" w:color="8C8279" w:themeColor="accent6"/>
          <w:right w:val="single" w:sz="8" w:space="0" w:color="8C8279" w:themeColor="accent6"/>
        </w:tcBorders>
      </w:tcPr>
    </w:tblStylePr>
  </w:style>
  <w:style w:type="table" w:styleId="LightShading">
    <w:name w:val="Light Shading"/>
    <w:basedOn w:val="TableNormal"/>
    <w:uiPriority w:val="60"/>
    <w:semiHidden/>
    <w:unhideWhenUsed/>
    <w:rsid w:val="009E6ED7"/>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9E6ED7"/>
    <w:rPr>
      <w:color w:val="0087A9" w:themeColor="accent1" w:themeShade="BF"/>
    </w:rPr>
    <w:tblPr>
      <w:tblStyleRowBandSize w:val="1"/>
      <w:tblStyleColBandSize w:val="1"/>
      <w:tblInd w:w="0" w:type="dxa"/>
      <w:tblBorders>
        <w:top w:val="single" w:sz="8" w:space="0" w:color="00B5E2" w:themeColor="accent1"/>
        <w:bottom w:val="single" w:sz="8" w:space="0" w:color="00B5E2"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B5E2" w:themeColor="accent1"/>
          <w:left w:val="nil"/>
          <w:bottom w:val="single" w:sz="8" w:space="0" w:color="00B5E2" w:themeColor="accent1"/>
          <w:right w:val="nil"/>
          <w:insideH w:val="nil"/>
          <w:insideV w:val="nil"/>
        </w:tcBorders>
      </w:tcPr>
    </w:tblStylePr>
    <w:tblStylePr w:type="lastRow">
      <w:pPr>
        <w:spacing w:before="0" w:after="0" w:line="240" w:lineRule="auto"/>
      </w:pPr>
      <w:rPr>
        <w:b/>
        <w:bCs/>
      </w:rPr>
      <w:tblPr/>
      <w:tcPr>
        <w:tcBorders>
          <w:top w:val="single" w:sz="8" w:space="0" w:color="00B5E2" w:themeColor="accent1"/>
          <w:left w:val="nil"/>
          <w:bottom w:val="single" w:sz="8" w:space="0" w:color="00B5E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8F0FF" w:themeFill="accent1" w:themeFillTint="3F"/>
      </w:tcPr>
    </w:tblStylePr>
    <w:tblStylePr w:type="band1Horz">
      <w:tblPr/>
      <w:tcPr>
        <w:tcBorders>
          <w:left w:val="nil"/>
          <w:right w:val="nil"/>
          <w:insideH w:val="nil"/>
          <w:insideV w:val="nil"/>
        </w:tcBorders>
        <w:shd w:val="clear" w:color="auto" w:fill="B8F0FF" w:themeFill="accent1" w:themeFillTint="3F"/>
      </w:tcPr>
    </w:tblStylePr>
  </w:style>
  <w:style w:type="table" w:styleId="LightShading-Accent2">
    <w:name w:val="Light Shading Accent 2"/>
    <w:basedOn w:val="TableNormal"/>
    <w:uiPriority w:val="60"/>
    <w:semiHidden/>
    <w:unhideWhenUsed/>
    <w:rsid w:val="009E6ED7"/>
    <w:rPr>
      <w:color w:val="628D00" w:themeColor="accent2" w:themeShade="BF"/>
    </w:rPr>
    <w:tblPr>
      <w:tblStyleRowBandSize w:val="1"/>
      <w:tblStyleColBandSize w:val="1"/>
      <w:tblInd w:w="0" w:type="dxa"/>
      <w:tblBorders>
        <w:top w:val="single" w:sz="8" w:space="0" w:color="84BD00" w:themeColor="accent2"/>
        <w:bottom w:val="single" w:sz="8" w:space="0" w:color="84BD00"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4BD00" w:themeColor="accent2"/>
          <w:left w:val="nil"/>
          <w:bottom w:val="single" w:sz="8" w:space="0" w:color="84BD00" w:themeColor="accent2"/>
          <w:right w:val="nil"/>
          <w:insideH w:val="nil"/>
          <w:insideV w:val="nil"/>
        </w:tcBorders>
      </w:tcPr>
    </w:tblStylePr>
    <w:tblStylePr w:type="lastRow">
      <w:pPr>
        <w:spacing w:before="0" w:after="0" w:line="240" w:lineRule="auto"/>
      </w:pPr>
      <w:rPr>
        <w:b/>
        <w:bCs/>
      </w:rPr>
      <w:tblPr/>
      <w:tcPr>
        <w:tcBorders>
          <w:top w:val="single" w:sz="8" w:space="0" w:color="84BD00" w:themeColor="accent2"/>
          <w:left w:val="nil"/>
          <w:bottom w:val="single" w:sz="8" w:space="0" w:color="84BD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FFAF" w:themeFill="accent2" w:themeFillTint="3F"/>
      </w:tcPr>
    </w:tblStylePr>
    <w:tblStylePr w:type="band1Horz">
      <w:tblPr/>
      <w:tcPr>
        <w:tcBorders>
          <w:left w:val="nil"/>
          <w:right w:val="nil"/>
          <w:insideH w:val="nil"/>
          <w:insideV w:val="nil"/>
        </w:tcBorders>
        <w:shd w:val="clear" w:color="auto" w:fill="E7FFAF" w:themeFill="accent2" w:themeFillTint="3F"/>
      </w:tcPr>
    </w:tblStylePr>
  </w:style>
  <w:style w:type="table" w:styleId="LightShading-Accent3">
    <w:name w:val="Light Shading Accent 3"/>
    <w:basedOn w:val="TableNormal"/>
    <w:uiPriority w:val="60"/>
    <w:semiHidden/>
    <w:unhideWhenUsed/>
    <w:rsid w:val="009E6ED7"/>
    <w:rPr>
      <w:color w:val="C76808" w:themeColor="accent3" w:themeShade="BF"/>
    </w:rPr>
    <w:tblPr>
      <w:tblStyleRowBandSize w:val="1"/>
      <w:tblStyleColBandSize w:val="1"/>
      <w:tblInd w:w="0" w:type="dxa"/>
      <w:tblBorders>
        <w:top w:val="single" w:sz="8" w:space="0" w:color="F68B1F" w:themeColor="accent3"/>
        <w:bottom w:val="single" w:sz="8" w:space="0" w:color="F68B1F"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68B1F" w:themeColor="accent3"/>
          <w:left w:val="nil"/>
          <w:bottom w:val="single" w:sz="8" w:space="0" w:color="F68B1F" w:themeColor="accent3"/>
          <w:right w:val="nil"/>
          <w:insideH w:val="nil"/>
          <w:insideV w:val="nil"/>
        </w:tcBorders>
      </w:tcPr>
    </w:tblStylePr>
    <w:tblStylePr w:type="lastRow">
      <w:pPr>
        <w:spacing w:before="0" w:after="0" w:line="240" w:lineRule="auto"/>
      </w:pPr>
      <w:rPr>
        <w:b/>
        <w:bCs/>
      </w:rPr>
      <w:tblPr/>
      <w:tcPr>
        <w:tcBorders>
          <w:top w:val="single" w:sz="8" w:space="0" w:color="F68B1F" w:themeColor="accent3"/>
          <w:left w:val="nil"/>
          <w:bottom w:val="single" w:sz="8" w:space="0" w:color="F68B1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2C7" w:themeFill="accent3" w:themeFillTint="3F"/>
      </w:tcPr>
    </w:tblStylePr>
    <w:tblStylePr w:type="band1Horz">
      <w:tblPr/>
      <w:tcPr>
        <w:tcBorders>
          <w:left w:val="nil"/>
          <w:right w:val="nil"/>
          <w:insideH w:val="nil"/>
          <w:insideV w:val="nil"/>
        </w:tcBorders>
        <w:shd w:val="clear" w:color="auto" w:fill="FCE2C7" w:themeFill="accent3" w:themeFillTint="3F"/>
      </w:tcPr>
    </w:tblStylePr>
  </w:style>
  <w:style w:type="table" w:styleId="LightShading-Accent4">
    <w:name w:val="Light Shading Accent 4"/>
    <w:basedOn w:val="TableNormal"/>
    <w:uiPriority w:val="60"/>
    <w:semiHidden/>
    <w:unhideWhenUsed/>
    <w:rsid w:val="009E6ED7"/>
    <w:rPr>
      <w:color w:val="76005E" w:themeColor="accent4" w:themeShade="BF"/>
    </w:rPr>
    <w:tblPr>
      <w:tblStyleRowBandSize w:val="1"/>
      <w:tblStyleColBandSize w:val="1"/>
      <w:tblInd w:w="0" w:type="dxa"/>
      <w:tblBorders>
        <w:top w:val="single" w:sz="8" w:space="0" w:color="9E007E" w:themeColor="accent4"/>
        <w:bottom w:val="single" w:sz="8" w:space="0" w:color="9E007E"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E007E" w:themeColor="accent4"/>
          <w:left w:val="nil"/>
          <w:bottom w:val="single" w:sz="8" w:space="0" w:color="9E007E" w:themeColor="accent4"/>
          <w:right w:val="nil"/>
          <w:insideH w:val="nil"/>
          <w:insideV w:val="nil"/>
        </w:tcBorders>
      </w:tcPr>
    </w:tblStylePr>
    <w:tblStylePr w:type="lastRow">
      <w:pPr>
        <w:spacing w:before="0" w:after="0" w:line="240" w:lineRule="auto"/>
      </w:pPr>
      <w:rPr>
        <w:b/>
        <w:bCs/>
      </w:rPr>
      <w:tblPr/>
      <w:tcPr>
        <w:tcBorders>
          <w:top w:val="single" w:sz="8" w:space="0" w:color="9E007E" w:themeColor="accent4"/>
          <w:left w:val="nil"/>
          <w:bottom w:val="single" w:sz="8" w:space="0" w:color="9E007E"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A8ED" w:themeFill="accent4" w:themeFillTint="3F"/>
      </w:tcPr>
    </w:tblStylePr>
    <w:tblStylePr w:type="band1Horz">
      <w:tblPr/>
      <w:tcPr>
        <w:tcBorders>
          <w:left w:val="nil"/>
          <w:right w:val="nil"/>
          <w:insideH w:val="nil"/>
          <w:insideV w:val="nil"/>
        </w:tcBorders>
        <w:shd w:val="clear" w:color="auto" w:fill="FFA8ED" w:themeFill="accent4" w:themeFillTint="3F"/>
      </w:tcPr>
    </w:tblStylePr>
  </w:style>
  <w:style w:type="table" w:styleId="LightShading-Accent5">
    <w:name w:val="Light Shading Accent 5"/>
    <w:basedOn w:val="TableNormal"/>
    <w:uiPriority w:val="60"/>
    <w:semiHidden/>
    <w:unhideWhenUsed/>
    <w:rsid w:val="009E6ED7"/>
    <w:rPr>
      <w:color w:val="CCB500" w:themeColor="accent5" w:themeShade="BF"/>
    </w:rPr>
    <w:tblPr>
      <w:tblStyleRowBandSize w:val="1"/>
      <w:tblStyleColBandSize w:val="1"/>
      <w:tblInd w:w="0" w:type="dxa"/>
      <w:tblBorders>
        <w:top w:val="single" w:sz="8" w:space="0" w:color="FFE512" w:themeColor="accent5"/>
        <w:bottom w:val="single" w:sz="8" w:space="0" w:color="FFE512"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E512" w:themeColor="accent5"/>
          <w:left w:val="nil"/>
          <w:bottom w:val="single" w:sz="8" w:space="0" w:color="FFE512" w:themeColor="accent5"/>
          <w:right w:val="nil"/>
          <w:insideH w:val="nil"/>
          <w:insideV w:val="nil"/>
        </w:tcBorders>
      </w:tcPr>
    </w:tblStylePr>
    <w:tblStylePr w:type="lastRow">
      <w:pPr>
        <w:spacing w:before="0" w:after="0" w:line="240" w:lineRule="auto"/>
      </w:pPr>
      <w:rPr>
        <w:b/>
        <w:bCs/>
      </w:rPr>
      <w:tblPr/>
      <w:tcPr>
        <w:tcBorders>
          <w:top w:val="single" w:sz="8" w:space="0" w:color="FFE512" w:themeColor="accent5"/>
          <w:left w:val="nil"/>
          <w:bottom w:val="single" w:sz="8" w:space="0" w:color="FFE512"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8C4" w:themeFill="accent5" w:themeFillTint="3F"/>
      </w:tcPr>
    </w:tblStylePr>
    <w:tblStylePr w:type="band1Horz">
      <w:tblPr/>
      <w:tcPr>
        <w:tcBorders>
          <w:left w:val="nil"/>
          <w:right w:val="nil"/>
          <w:insideH w:val="nil"/>
          <w:insideV w:val="nil"/>
        </w:tcBorders>
        <w:shd w:val="clear" w:color="auto" w:fill="FFF8C4" w:themeFill="accent5" w:themeFillTint="3F"/>
      </w:tcPr>
    </w:tblStylePr>
  </w:style>
  <w:style w:type="table" w:styleId="LightShading-Accent6">
    <w:name w:val="Light Shading Accent 6"/>
    <w:basedOn w:val="TableNormal"/>
    <w:uiPriority w:val="60"/>
    <w:semiHidden/>
    <w:unhideWhenUsed/>
    <w:rsid w:val="009E6ED7"/>
    <w:rPr>
      <w:color w:val="69615A" w:themeColor="accent6" w:themeShade="BF"/>
    </w:rPr>
    <w:tblPr>
      <w:tblStyleRowBandSize w:val="1"/>
      <w:tblStyleColBandSize w:val="1"/>
      <w:tblInd w:w="0" w:type="dxa"/>
      <w:tblBorders>
        <w:top w:val="single" w:sz="8" w:space="0" w:color="8C8279" w:themeColor="accent6"/>
        <w:bottom w:val="single" w:sz="8" w:space="0" w:color="8C8279"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C8279" w:themeColor="accent6"/>
          <w:left w:val="nil"/>
          <w:bottom w:val="single" w:sz="8" w:space="0" w:color="8C8279" w:themeColor="accent6"/>
          <w:right w:val="nil"/>
          <w:insideH w:val="nil"/>
          <w:insideV w:val="nil"/>
        </w:tcBorders>
      </w:tcPr>
    </w:tblStylePr>
    <w:tblStylePr w:type="lastRow">
      <w:pPr>
        <w:spacing w:before="0" w:after="0" w:line="240" w:lineRule="auto"/>
      </w:pPr>
      <w:rPr>
        <w:b/>
        <w:bCs/>
      </w:rPr>
      <w:tblPr/>
      <w:tcPr>
        <w:tcBorders>
          <w:top w:val="single" w:sz="8" w:space="0" w:color="8C8279" w:themeColor="accent6"/>
          <w:left w:val="nil"/>
          <w:bottom w:val="single" w:sz="8" w:space="0" w:color="8C8279"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E0DD" w:themeFill="accent6" w:themeFillTint="3F"/>
      </w:tcPr>
    </w:tblStylePr>
    <w:tblStylePr w:type="band1Horz">
      <w:tblPr/>
      <w:tcPr>
        <w:tcBorders>
          <w:left w:val="nil"/>
          <w:right w:val="nil"/>
          <w:insideH w:val="nil"/>
          <w:insideV w:val="nil"/>
        </w:tcBorders>
        <w:shd w:val="clear" w:color="auto" w:fill="E2E0DD" w:themeFill="accent6" w:themeFillTint="3F"/>
      </w:tcPr>
    </w:tblStylePr>
  </w:style>
  <w:style w:type="table" w:styleId="MediumGrid1">
    <w:name w:val="Medium Grid 1"/>
    <w:basedOn w:val="TableNormal"/>
    <w:uiPriority w:val="67"/>
    <w:semiHidden/>
    <w:unhideWhenUsed/>
    <w:rsid w:val="009E6ED7"/>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9E6ED7"/>
    <w:tblPr>
      <w:tblStyleRowBandSize w:val="1"/>
      <w:tblStyleColBandSize w:val="1"/>
      <w:tblInd w:w="0" w:type="dxa"/>
      <w:tblBorders>
        <w:top w:val="single" w:sz="8" w:space="0" w:color="2AD4FF" w:themeColor="accent1" w:themeTint="BF"/>
        <w:left w:val="single" w:sz="8" w:space="0" w:color="2AD4FF" w:themeColor="accent1" w:themeTint="BF"/>
        <w:bottom w:val="single" w:sz="8" w:space="0" w:color="2AD4FF" w:themeColor="accent1" w:themeTint="BF"/>
        <w:right w:val="single" w:sz="8" w:space="0" w:color="2AD4FF" w:themeColor="accent1" w:themeTint="BF"/>
        <w:insideH w:val="single" w:sz="8" w:space="0" w:color="2AD4FF" w:themeColor="accent1" w:themeTint="BF"/>
        <w:insideV w:val="single" w:sz="8" w:space="0" w:color="2AD4FF" w:themeColor="accent1" w:themeTint="BF"/>
      </w:tblBorders>
      <w:tblCellMar>
        <w:top w:w="0" w:type="dxa"/>
        <w:left w:w="108" w:type="dxa"/>
        <w:bottom w:w="0" w:type="dxa"/>
        <w:right w:w="108" w:type="dxa"/>
      </w:tblCellMar>
    </w:tblPr>
    <w:tcPr>
      <w:shd w:val="clear" w:color="auto" w:fill="B8F0FF" w:themeFill="accent1" w:themeFillTint="3F"/>
    </w:tcPr>
    <w:tblStylePr w:type="firstRow">
      <w:rPr>
        <w:b/>
        <w:bCs/>
      </w:rPr>
    </w:tblStylePr>
    <w:tblStylePr w:type="lastRow">
      <w:rPr>
        <w:b/>
        <w:bCs/>
      </w:rPr>
      <w:tblPr/>
      <w:tcPr>
        <w:tcBorders>
          <w:top w:val="single" w:sz="18" w:space="0" w:color="2AD4FF" w:themeColor="accent1" w:themeTint="BF"/>
        </w:tcBorders>
      </w:tcPr>
    </w:tblStylePr>
    <w:tblStylePr w:type="firstCol">
      <w:rPr>
        <w:b/>
        <w:bCs/>
      </w:rPr>
    </w:tblStylePr>
    <w:tblStylePr w:type="lastCol">
      <w:rPr>
        <w:b/>
        <w:bCs/>
      </w:rPr>
    </w:tblStylePr>
    <w:tblStylePr w:type="band1Vert">
      <w:tblPr/>
      <w:tcPr>
        <w:shd w:val="clear" w:color="auto" w:fill="71E2FF" w:themeFill="accent1" w:themeFillTint="7F"/>
      </w:tcPr>
    </w:tblStylePr>
    <w:tblStylePr w:type="band1Horz">
      <w:tblPr/>
      <w:tcPr>
        <w:shd w:val="clear" w:color="auto" w:fill="71E2FF" w:themeFill="accent1" w:themeFillTint="7F"/>
      </w:tcPr>
    </w:tblStylePr>
  </w:style>
  <w:style w:type="table" w:styleId="MediumGrid1-Accent2">
    <w:name w:val="Medium Grid 1 Accent 2"/>
    <w:basedOn w:val="TableNormal"/>
    <w:uiPriority w:val="67"/>
    <w:semiHidden/>
    <w:unhideWhenUsed/>
    <w:rsid w:val="009E6ED7"/>
    <w:tblPr>
      <w:tblStyleRowBandSize w:val="1"/>
      <w:tblStyleColBandSize w:val="1"/>
      <w:tblInd w:w="0" w:type="dxa"/>
      <w:tblBorders>
        <w:top w:val="single" w:sz="8" w:space="0" w:color="B6FF0E" w:themeColor="accent2" w:themeTint="BF"/>
        <w:left w:val="single" w:sz="8" w:space="0" w:color="B6FF0E" w:themeColor="accent2" w:themeTint="BF"/>
        <w:bottom w:val="single" w:sz="8" w:space="0" w:color="B6FF0E" w:themeColor="accent2" w:themeTint="BF"/>
        <w:right w:val="single" w:sz="8" w:space="0" w:color="B6FF0E" w:themeColor="accent2" w:themeTint="BF"/>
        <w:insideH w:val="single" w:sz="8" w:space="0" w:color="B6FF0E" w:themeColor="accent2" w:themeTint="BF"/>
        <w:insideV w:val="single" w:sz="8" w:space="0" w:color="B6FF0E" w:themeColor="accent2" w:themeTint="BF"/>
      </w:tblBorders>
      <w:tblCellMar>
        <w:top w:w="0" w:type="dxa"/>
        <w:left w:w="108" w:type="dxa"/>
        <w:bottom w:w="0" w:type="dxa"/>
        <w:right w:w="108" w:type="dxa"/>
      </w:tblCellMar>
    </w:tblPr>
    <w:tcPr>
      <w:shd w:val="clear" w:color="auto" w:fill="E7FFAF" w:themeFill="accent2" w:themeFillTint="3F"/>
    </w:tcPr>
    <w:tblStylePr w:type="firstRow">
      <w:rPr>
        <w:b/>
        <w:bCs/>
      </w:rPr>
    </w:tblStylePr>
    <w:tblStylePr w:type="lastRow">
      <w:rPr>
        <w:b/>
        <w:bCs/>
      </w:rPr>
      <w:tblPr/>
      <w:tcPr>
        <w:tcBorders>
          <w:top w:val="single" w:sz="18" w:space="0" w:color="B6FF0E" w:themeColor="accent2" w:themeTint="BF"/>
        </w:tcBorders>
      </w:tcPr>
    </w:tblStylePr>
    <w:tblStylePr w:type="firstCol">
      <w:rPr>
        <w:b/>
        <w:bCs/>
      </w:rPr>
    </w:tblStylePr>
    <w:tblStylePr w:type="lastCol">
      <w:rPr>
        <w:b/>
        <w:bCs/>
      </w:rPr>
    </w:tblStylePr>
    <w:tblStylePr w:type="band1Vert">
      <w:tblPr/>
      <w:tcPr>
        <w:shd w:val="clear" w:color="auto" w:fill="CEFF5F" w:themeFill="accent2" w:themeFillTint="7F"/>
      </w:tcPr>
    </w:tblStylePr>
    <w:tblStylePr w:type="band1Horz">
      <w:tblPr/>
      <w:tcPr>
        <w:shd w:val="clear" w:color="auto" w:fill="CEFF5F" w:themeFill="accent2" w:themeFillTint="7F"/>
      </w:tcPr>
    </w:tblStylePr>
  </w:style>
  <w:style w:type="table" w:styleId="MediumGrid1-Accent3">
    <w:name w:val="Medium Grid 1 Accent 3"/>
    <w:basedOn w:val="TableNormal"/>
    <w:uiPriority w:val="67"/>
    <w:semiHidden/>
    <w:unhideWhenUsed/>
    <w:rsid w:val="009E6ED7"/>
    <w:tblPr>
      <w:tblStyleRowBandSize w:val="1"/>
      <w:tblStyleColBandSize w:val="1"/>
      <w:tblInd w:w="0" w:type="dxa"/>
      <w:tblBorders>
        <w:top w:val="single" w:sz="8" w:space="0" w:color="F8A757" w:themeColor="accent3" w:themeTint="BF"/>
        <w:left w:val="single" w:sz="8" w:space="0" w:color="F8A757" w:themeColor="accent3" w:themeTint="BF"/>
        <w:bottom w:val="single" w:sz="8" w:space="0" w:color="F8A757" w:themeColor="accent3" w:themeTint="BF"/>
        <w:right w:val="single" w:sz="8" w:space="0" w:color="F8A757" w:themeColor="accent3" w:themeTint="BF"/>
        <w:insideH w:val="single" w:sz="8" w:space="0" w:color="F8A757" w:themeColor="accent3" w:themeTint="BF"/>
        <w:insideV w:val="single" w:sz="8" w:space="0" w:color="F8A757" w:themeColor="accent3" w:themeTint="BF"/>
      </w:tblBorders>
      <w:tblCellMar>
        <w:top w:w="0" w:type="dxa"/>
        <w:left w:w="108" w:type="dxa"/>
        <w:bottom w:w="0" w:type="dxa"/>
        <w:right w:w="108" w:type="dxa"/>
      </w:tblCellMar>
    </w:tblPr>
    <w:tcPr>
      <w:shd w:val="clear" w:color="auto" w:fill="FCE2C7" w:themeFill="accent3" w:themeFillTint="3F"/>
    </w:tcPr>
    <w:tblStylePr w:type="firstRow">
      <w:rPr>
        <w:b/>
        <w:bCs/>
      </w:rPr>
    </w:tblStylePr>
    <w:tblStylePr w:type="lastRow">
      <w:rPr>
        <w:b/>
        <w:bCs/>
      </w:rPr>
      <w:tblPr/>
      <w:tcPr>
        <w:tcBorders>
          <w:top w:val="single" w:sz="18" w:space="0" w:color="F8A757" w:themeColor="accent3" w:themeTint="BF"/>
        </w:tcBorders>
      </w:tcPr>
    </w:tblStylePr>
    <w:tblStylePr w:type="firstCol">
      <w:rPr>
        <w:b/>
        <w:bCs/>
      </w:rPr>
    </w:tblStylePr>
    <w:tblStylePr w:type="lastCol">
      <w:rPr>
        <w:b/>
        <w:bCs/>
      </w:rPr>
    </w:tblStylePr>
    <w:tblStylePr w:type="band1Vert">
      <w:tblPr/>
      <w:tcPr>
        <w:shd w:val="clear" w:color="auto" w:fill="FAC58F" w:themeFill="accent3" w:themeFillTint="7F"/>
      </w:tcPr>
    </w:tblStylePr>
    <w:tblStylePr w:type="band1Horz">
      <w:tblPr/>
      <w:tcPr>
        <w:shd w:val="clear" w:color="auto" w:fill="FAC58F" w:themeFill="accent3" w:themeFillTint="7F"/>
      </w:tcPr>
    </w:tblStylePr>
  </w:style>
  <w:style w:type="table" w:styleId="MediumGrid1-Accent4">
    <w:name w:val="Medium Grid 1 Accent 4"/>
    <w:basedOn w:val="TableNormal"/>
    <w:uiPriority w:val="67"/>
    <w:semiHidden/>
    <w:unhideWhenUsed/>
    <w:rsid w:val="009E6ED7"/>
    <w:tblPr>
      <w:tblStyleRowBandSize w:val="1"/>
      <w:tblStyleColBandSize w:val="1"/>
      <w:tblInd w:w="0" w:type="dxa"/>
      <w:tblBorders>
        <w:top w:val="single" w:sz="8" w:space="0" w:color="F600C4" w:themeColor="accent4" w:themeTint="BF"/>
        <w:left w:val="single" w:sz="8" w:space="0" w:color="F600C4" w:themeColor="accent4" w:themeTint="BF"/>
        <w:bottom w:val="single" w:sz="8" w:space="0" w:color="F600C4" w:themeColor="accent4" w:themeTint="BF"/>
        <w:right w:val="single" w:sz="8" w:space="0" w:color="F600C4" w:themeColor="accent4" w:themeTint="BF"/>
        <w:insideH w:val="single" w:sz="8" w:space="0" w:color="F600C4" w:themeColor="accent4" w:themeTint="BF"/>
        <w:insideV w:val="single" w:sz="8" w:space="0" w:color="F600C4" w:themeColor="accent4" w:themeTint="BF"/>
      </w:tblBorders>
      <w:tblCellMar>
        <w:top w:w="0" w:type="dxa"/>
        <w:left w:w="108" w:type="dxa"/>
        <w:bottom w:w="0" w:type="dxa"/>
        <w:right w:w="108" w:type="dxa"/>
      </w:tblCellMar>
    </w:tblPr>
    <w:tcPr>
      <w:shd w:val="clear" w:color="auto" w:fill="FFA8ED" w:themeFill="accent4" w:themeFillTint="3F"/>
    </w:tcPr>
    <w:tblStylePr w:type="firstRow">
      <w:rPr>
        <w:b/>
        <w:bCs/>
      </w:rPr>
    </w:tblStylePr>
    <w:tblStylePr w:type="lastRow">
      <w:rPr>
        <w:b/>
        <w:bCs/>
      </w:rPr>
      <w:tblPr/>
      <w:tcPr>
        <w:tcBorders>
          <w:top w:val="single" w:sz="18" w:space="0" w:color="F600C4" w:themeColor="accent4" w:themeTint="BF"/>
        </w:tcBorders>
      </w:tcPr>
    </w:tblStylePr>
    <w:tblStylePr w:type="firstCol">
      <w:rPr>
        <w:b/>
        <w:bCs/>
      </w:rPr>
    </w:tblStylePr>
    <w:tblStylePr w:type="lastCol">
      <w:rPr>
        <w:b/>
        <w:bCs/>
      </w:rPr>
    </w:tblStylePr>
    <w:tblStylePr w:type="band1Vert">
      <w:tblPr/>
      <w:tcPr>
        <w:shd w:val="clear" w:color="auto" w:fill="FF4FDB" w:themeFill="accent4" w:themeFillTint="7F"/>
      </w:tcPr>
    </w:tblStylePr>
    <w:tblStylePr w:type="band1Horz">
      <w:tblPr/>
      <w:tcPr>
        <w:shd w:val="clear" w:color="auto" w:fill="FF4FDB" w:themeFill="accent4" w:themeFillTint="7F"/>
      </w:tcPr>
    </w:tblStylePr>
  </w:style>
  <w:style w:type="table" w:styleId="MediumGrid1-Accent5">
    <w:name w:val="Medium Grid 1 Accent 5"/>
    <w:basedOn w:val="TableNormal"/>
    <w:uiPriority w:val="67"/>
    <w:semiHidden/>
    <w:unhideWhenUsed/>
    <w:rsid w:val="009E6ED7"/>
    <w:tblPr>
      <w:tblStyleRowBandSize w:val="1"/>
      <w:tblStyleColBandSize w:val="1"/>
      <w:tblInd w:w="0" w:type="dxa"/>
      <w:tblBorders>
        <w:top w:val="single" w:sz="8" w:space="0" w:color="FFEB4D" w:themeColor="accent5" w:themeTint="BF"/>
        <w:left w:val="single" w:sz="8" w:space="0" w:color="FFEB4D" w:themeColor="accent5" w:themeTint="BF"/>
        <w:bottom w:val="single" w:sz="8" w:space="0" w:color="FFEB4D" w:themeColor="accent5" w:themeTint="BF"/>
        <w:right w:val="single" w:sz="8" w:space="0" w:color="FFEB4D" w:themeColor="accent5" w:themeTint="BF"/>
        <w:insideH w:val="single" w:sz="8" w:space="0" w:color="FFEB4D" w:themeColor="accent5" w:themeTint="BF"/>
        <w:insideV w:val="single" w:sz="8" w:space="0" w:color="FFEB4D" w:themeColor="accent5" w:themeTint="BF"/>
      </w:tblBorders>
      <w:tblCellMar>
        <w:top w:w="0" w:type="dxa"/>
        <w:left w:w="108" w:type="dxa"/>
        <w:bottom w:w="0" w:type="dxa"/>
        <w:right w:w="108" w:type="dxa"/>
      </w:tblCellMar>
    </w:tblPr>
    <w:tcPr>
      <w:shd w:val="clear" w:color="auto" w:fill="FFF8C4" w:themeFill="accent5" w:themeFillTint="3F"/>
    </w:tcPr>
    <w:tblStylePr w:type="firstRow">
      <w:rPr>
        <w:b/>
        <w:bCs/>
      </w:rPr>
    </w:tblStylePr>
    <w:tblStylePr w:type="lastRow">
      <w:rPr>
        <w:b/>
        <w:bCs/>
      </w:rPr>
      <w:tblPr/>
      <w:tcPr>
        <w:tcBorders>
          <w:top w:val="single" w:sz="18" w:space="0" w:color="FFEB4D" w:themeColor="accent5" w:themeTint="BF"/>
        </w:tcBorders>
      </w:tcPr>
    </w:tblStylePr>
    <w:tblStylePr w:type="firstCol">
      <w:rPr>
        <w:b/>
        <w:bCs/>
      </w:rPr>
    </w:tblStylePr>
    <w:tblStylePr w:type="lastCol">
      <w:rPr>
        <w:b/>
        <w:bCs/>
      </w:rPr>
    </w:tblStylePr>
    <w:tblStylePr w:type="band1Vert">
      <w:tblPr/>
      <w:tcPr>
        <w:shd w:val="clear" w:color="auto" w:fill="FFF288" w:themeFill="accent5" w:themeFillTint="7F"/>
      </w:tcPr>
    </w:tblStylePr>
    <w:tblStylePr w:type="band1Horz">
      <w:tblPr/>
      <w:tcPr>
        <w:shd w:val="clear" w:color="auto" w:fill="FFF288" w:themeFill="accent5" w:themeFillTint="7F"/>
      </w:tcPr>
    </w:tblStylePr>
  </w:style>
  <w:style w:type="table" w:styleId="MediumGrid1-Accent6">
    <w:name w:val="Medium Grid 1 Accent 6"/>
    <w:basedOn w:val="TableNormal"/>
    <w:uiPriority w:val="67"/>
    <w:semiHidden/>
    <w:unhideWhenUsed/>
    <w:rsid w:val="009E6ED7"/>
    <w:tblPr>
      <w:tblStyleRowBandSize w:val="1"/>
      <w:tblStyleColBandSize w:val="1"/>
      <w:tblInd w:w="0" w:type="dxa"/>
      <w:tblBorders>
        <w:top w:val="single" w:sz="8" w:space="0" w:color="A8A19A" w:themeColor="accent6" w:themeTint="BF"/>
        <w:left w:val="single" w:sz="8" w:space="0" w:color="A8A19A" w:themeColor="accent6" w:themeTint="BF"/>
        <w:bottom w:val="single" w:sz="8" w:space="0" w:color="A8A19A" w:themeColor="accent6" w:themeTint="BF"/>
        <w:right w:val="single" w:sz="8" w:space="0" w:color="A8A19A" w:themeColor="accent6" w:themeTint="BF"/>
        <w:insideH w:val="single" w:sz="8" w:space="0" w:color="A8A19A" w:themeColor="accent6" w:themeTint="BF"/>
        <w:insideV w:val="single" w:sz="8" w:space="0" w:color="A8A19A" w:themeColor="accent6" w:themeTint="BF"/>
      </w:tblBorders>
      <w:tblCellMar>
        <w:top w:w="0" w:type="dxa"/>
        <w:left w:w="108" w:type="dxa"/>
        <w:bottom w:w="0" w:type="dxa"/>
        <w:right w:w="108" w:type="dxa"/>
      </w:tblCellMar>
    </w:tblPr>
    <w:tcPr>
      <w:shd w:val="clear" w:color="auto" w:fill="E2E0DD" w:themeFill="accent6" w:themeFillTint="3F"/>
    </w:tcPr>
    <w:tblStylePr w:type="firstRow">
      <w:rPr>
        <w:b/>
        <w:bCs/>
      </w:rPr>
    </w:tblStylePr>
    <w:tblStylePr w:type="lastRow">
      <w:rPr>
        <w:b/>
        <w:bCs/>
      </w:rPr>
      <w:tblPr/>
      <w:tcPr>
        <w:tcBorders>
          <w:top w:val="single" w:sz="18" w:space="0" w:color="A8A19A" w:themeColor="accent6" w:themeTint="BF"/>
        </w:tcBorders>
      </w:tcPr>
    </w:tblStylePr>
    <w:tblStylePr w:type="firstCol">
      <w:rPr>
        <w:b/>
        <w:bCs/>
      </w:rPr>
    </w:tblStylePr>
    <w:tblStylePr w:type="lastCol">
      <w:rPr>
        <w:b/>
        <w:bCs/>
      </w:rPr>
    </w:tblStylePr>
    <w:tblStylePr w:type="band1Vert">
      <w:tblPr/>
      <w:tcPr>
        <w:shd w:val="clear" w:color="auto" w:fill="C5C0BC" w:themeFill="accent6" w:themeFillTint="7F"/>
      </w:tcPr>
    </w:tblStylePr>
    <w:tblStylePr w:type="band1Horz">
      <w:tblPr/>
      <w:tcPr>
        <w:shd w:val="clear" w:color="auto" w:fill="C5C0BC" w:themeFill="accent6" w:themeFillTint="7F"/>
      </w:tcPr>
    </w:tblStylePr>
  </w:style>
  <w:style w:type="table" w:styleId="MediumGrid2">
    <w:name w:val="Medium Grid 2"/>
    <w:basedOn w:val="TableNormal"/>
    <w:uiPriority w:val="68"/>
    <w:semiHidden/>
    <w:unhideWhenUsed/>
    <w:rsid w:val="009E6ED7"/>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9E6ED7"/>
    <w:rPr>
      <w:rFonts w:asciiTheme="majorHAnsi" w:eastAsiaTheme="majorEastAsia" w:hAnsiTheme="majorHAnsi" w:cstheme="majorBidi"/>
      <w:color w:val="000000" w:themeColor="text1"/>
    </w:rPr>
    <w:tblPr>
      <w:tblStyleRowBandSize w:val="1"/>
      <w:tblStyleColBandSize w:val="1"/>
      <w:tblInd w:w="0" w:type="dxa"/>
      <w:tblBorders>
        <w:top w:val="single" w:sz="8" w:space="0" w:color="00B5E2" w:themeColor="accent1"/>
        <w:left w:val="single" w:sz="8" w:space="0" w:color="00B5E2" w:themeColor="accent1"/>
        <w:bottom w:val="single" w:sz="8" w:space="0" w:color="00B5E2" w:themeColor="accent1"/>
        <w:right w:val="single" w:sz="8" w:space="0" w:color="00B5E2" w:themeColor="accent1"/>
        <w:insideH w:val="single" w:sz="8" w:space="0" w:color="00B5E2" w:themeColor="accent1"/>
        <w:insideV w:val="single" w:sz="8" w:space="0" w:color="00B5E2" w:themeColor="accent1"/>
      </w:tblBorders>
      <w:tblCellMar>
        <w:top w:w="0" w:type="dxa"/>
        <w:left w:w="108" w:type="dxa"/>
        <w:bottom w:w="0" w:type="dxa"/>
        <w:right w:w="108" w:type="dxa"/>
      </w:tblCellMar>
    </w:tblPr>
    <w:tcPr>
      <w:shd w:val="clear" w:color="auto" w:fill="B8F0FF" w:themeFill="accent1" w:themeFillTint="3F"/>
    </w:tcPr>
    <w:tblStylePr w:type="firstRow">
      <w:rPr>
        <w:b/>
        <w:bCs/>
        <w:color w:val="000000" w:themeColor="text1"/>
      </w:rPr>
      <w:tblPr/>
      <w:tcPr>
        <w:shd w:val="clear" w:color="auto" w:fill="E3F9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3FF" w:themeFill="accent1" w:themeFillTint="33"/>
      </w:tcPr>
    </w:tblStylePr>
    <w:tblStylePr w:type="band1Vert">
      <w:tblPr/>
      <w:tcPr>
        <w:shd w:val="clear" w:color="auto" w:fill="71E2FF" w:themeFill="accent1" w:themeFillTint="7F"/>
      </w:tcPr>
    </w:tblStylePr>
    <w:tblStylePr w:type="band1Horz">
      <w:tblPr/>
      <w:tcPr>
        <w:tcBorders>
          <w:insideH w:val="single" w:sz="6" w:space="0" w:color="00B5E2" w:themeColor="accent1"/>
          <w:insideV w:val="single" w:sz="6" w:space="0" w:color="00B5E2" w:themeColor="accent1"/>
        </w:tcBorders>
        <w:shd w:val="clear" w:color="auto" w:fill="71E2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9E6ED7"/>
    <w:rPr>
      <w:rFonts w:asciiTheme="majorHAnsi" w:eastAsiaTheme="majorEastAsia" w:hAnsiTheme="majorHAnsi" w:cstheme="majorBidi"/>
      <w:color w:val="000000" w:themeColor="text1"/>
    </w:rPr>
    <w:tblPr>
      <w:tblStyleRowBandSize w:val="1"/>
      <w:tblStyleColBandSize w:val="1"/>
      <w:tblInd w:w="0" w:type="dxa"/>
      <w:tblBorders>
        <w:top w:val="single" w:sz="8" w:space="0" w:color="84BD00" w:themeColor="accent2"/>
        <w:left w:val="single" w:sz="8" w:space="0" w:color="84BD00" w:themeColor="accent2"/>
        <w:bottom w:val="single" w:sz="8" w:space="0" w:color="84BD00" w:themeColor="accent2"/>
        <w:right w:val="single" w:sz="8" w:space="0" w:color="84BD00" w:themeColor="accent2"/>
        <w:insideH w:val="single" w:sz="8" w:space="0" w:color="84BD00" w:themeColor="accent2"/>
        <w:insideV w:val="single" w:sz="8" w:space="0" w:color="84BD00" w:themeColor="accent2"/>
      </w:tblBorders>
      <w:tblCellMar>
        <w:top w:w="0" w:type="dxa"/>
        <w:left w:w="108" w:type="dxa"/>
        <w:bottom w:w="0" w:type="dxa"/>
        <w:right w:w="108" w:type="dxa"/>
      </w:tblCellMar>
    </w:tblPr>
    <w:tcPr>
      <w:shd w:val="clear" w:color="auto" w:fill="E7FFAF" w:themeFill="accent2" w:themeFillTint="3F"/>
    </w:tcPr>
    <w:tblStylePr w:type="firstRow">
      <w:rPr>
        <w:b/>
        <w:bCs/>
        <w:color w:val="000000" w:themeColor="text1"/>
      </w:rPr>
      <w:tblPr/>
      <w:tcPr>
        <w:shd w:val="clear" w:color="auto" w:fill="F5F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FBE" w:themeFill="accent2" w:themeFillTint="33"/>
      </w:tcPr>
    </w:tblStylePr>
    <w:tblStylePr w:type="band1Vert">
      <w:tblPr/>
      <w:tcPr>
        <w:shd w:val="clear" w:color="auto" w:fill="CEFF5F" w:themeFill="accent2" w:themeFillTint="7F"/>
      </w:tcPr>
    </w:tblStylePr>
    <w:tblStylePr w:type="band1Horz">
      <w:tblPr/>
      <w:tcPr>
        <w:tcBorders>
          <w:insideH w:val="single" w:sz="6" w:space="0" w:color="84BD00" w:themeColor="accent2"/>
          <w:insideV w:val="single" w:sz="6" w:space="0" w:color="84BD00" w:themeColor="accent2"/>
        </w:tcBorders>
        <w:shd w:val="clear" w:color="auto" w:fill="CEFF5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9E6ED7"/>
    <w:rPr>
      <w:rFonts w:asciiTheme="majorHAnsi" w:eastAsiaTheme="majorEastAsia" w:hAnsiTheme="majorHAnsi" w:cstheme="majorBidi"/>
      <w:color w:val="000000" w:themeColor="text1"/>
    </w:rPr>
    <w:tblPr>
      <w:tblStyleRowBandSize w:val="1"/>
      <w:tblStyleColBandSize w:val="1"/>
      <w:tblInd w:w="0" w:type="dxa"/>
      <w:tblBorders>
        <w:top w:val="single" w:sz="8" w:space="0" w:color="F68B1F" w:themeColor="accent3"/>
        <w:left w:val="single" w:sz="8" w:space="0" w:color="F68B1F" w:themeColor="accent3"/>
        <w:bottom w:val="single" w:sz="8" w:space="0" w:color="F68B1F" w:themeColor="accent3"/>
        <w:right w:val="single" w:sz="8" w:space="0" w:color="F68B1F" w:themeColor="accent3"/>
        <w:insideH w:val="single" w:sz="8" w:space="0" w:color="F68B1F" w:themeColor="accent3"/>
        <w:insideV w:val="single" w:sz="8" w:space="0" w:color="F68B1F" w:themeColor="accent3"/>
      </w:tblBorders>
      <w:tblCellMar>
        <w:top w:w="0" w:type="dxa"/>
        <w:left w:w="108" w:type="dxa"/>
        <w:bottom w:w="0" w:type="dxa"/>
        <w:right w:w="108" w:type="dxa"/>
      </w:tblCellMar>
    </w:tblPr>
    <w:tcPr>
      <w:shd w:val="clear" w:color="auto" w:fill="FCE2C7" w:themeFill="accent3" w:themeFillTint="3F"/>
    </w:tcPr>
    <w:tblStylePr w:type="firstRow">
      <w:rPr>
        <w:b/>
        <w:bCs/>
        <w:color w:val="000000" w:themeColor="text1"/>
      </w:rPr>
      <w:tblPr/>
      <w:tcPr>
        <w:shd w:val="clear" w:color="auto" w:fill="FEF3E8"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7D2" w:themeFill="accent3" w:themeFillTint="33"/>
      </w:tcPr>
    </w:tblStylePr>
    <w:tblStylePr w:type="band1Vert">
      <w:tblPr/>
      <w:tcPr>
        <w:shd w:val="clear" w:color="auto" w:fill="FAC58F" w:themeFill="accent3" w:themeFillTint="7F"/>
      </w:tcPr>
    </w:tblStylePr>
    <w:tblStylePr w:type="band1Horz">
      <w:tblPr/>
      <w:tcPr>
        <w:tcBorders>
          <w:insideH w:val="single" w:sz="6" w:space="0" w:color="F68B1F" w:themeColor="accent3"/>
          <w:insideV w:val="single" w:sz="6" w:space="0" w:color="F68B1F" w:themeColor="accent3"/>
        </w:tcBorders>
        <w:shd w:val="clear" w:color="auto" w:fill="FAC58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9E6ED7"/>
    <w:rPr>
      <w:rFonts w:asciiTheme="majorHAnsi" w:eastAsiaTheme="majorEastAsia" w:hAnsiTheme="majorHAnsi" w:cstheme="majorBidi"/>
      <w:color w:val="000000" w:themeColor="text1"/>
    </w:rPr>
    <w:tblPr>
      <w:tblStyleRowBandSize w:val="1"/>
      <w:tblStyleColBandSize w:val="1"/>
      <w:tblInd w:w="0" w:type="dxa"/>
      <w:tblBorders>
        <w:top w:val="single" w:sz="8" w:space="0" w:color="9E007E" w:themeColor="accent4"/>
        <w:left w:val="single" w:sz="8" w:space="0" w:color="9E007E" w:themeColor="accent4"/>
        <w:bottom w:val="single" w:sz="8" w:space="0" w:color="9E007E" w:themeColor="accent4"/>
        <w:right w:val="single" w:sz="8" w:space="0" w:color="9E007E" w:themeColor="accent4"/>
        <w:insideH w:val="single" w:sz="8" w:space="0" w:color="9E007E" w:themeColor="accent4"/>
        <w:insideV w:val="single" w:sz="8" w:space="0" w:color="9E007E" w:themeColor="accent4"/>
      </w:tblBorders>
      <w:tblCellMar>
        <w:top w:w="0" w:type="dxa"/>
        <w:left w:w="108" w:type="dxa"/>
        <w:bottom w:w="0" w:type="dxa"/>
        <w:right w:w="108" w:type="dxa"/>
      </w:tblCellMar>
    </w:tblPr>
    <w:tcPr>
      <w:shd w:val="clear" w:color="auto" w:fill="FFA8ED" w:themeFill="accent4" w:themeFillTint="3F"/>
    </w:tcPr>
    <w:tblStylePr w:type="firstRow">
      <w:rPr>
        <w:b/>
        <w:bCs/>
        <w:color w:val="000000" w:themeColor="text1"/>
      </w:rPr>
      <w:tblPr/>
      <w:tcPr>
        <w:shd w:val="clear" w:color="auto" w:fill="FFDC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8F0" w:themeFill="accent4" w:themeFillTint="33"/>
      </w:tcPr>
    </w:tblStylePr>
    <w:tblStylePr w:type="band1Vert">
      <w:tblPr/>
      <w:tcPr>
        <w:shd w:val="clear" w:color="auto" w:fill="FF4FDB" w:themeFill="accent4" w:themeFillTint="7F"/>
      </w:tcPr>
    </w:tblStylePr>
    <w:tblStylePr w:type="band1Horz">
      <w:tblPr/>
      <w:tcPr>
        <w:tcBorders>
          <w:insideH w:val="single" w:sz="6" w:space="0" w:color="9E007E" w:themeColor="accent4"/>
          <w:insideV w:val="single" w:sz="6" w:space="0" w:color="9E007E" w:themeColor="accent4"/>
        </w:tcBorders>
        <w:shd w:val="clear" w:color="auto" w:fill="FF4FDB"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9E6ED7"/>
    <w:rPr>
      <w:rFonts w:asciiTheme="majorHAnsi" w:eastAsiaTheme="majorEastAsia" w:hAnsiTheme="majorHAnsi" w:cstheme="majorBidi"/>
      <w:color w:val="000000" w:themeColor="text1"/>
    </w:rPr>
    <w:tblPr>
      <w:tblStyleRowBandSize w:val="1"/>
      <w:tblStyleColBandSize w:val="1"/>
      <w:tblInd w:w="0" w:type="dxa"/>
      <w:tblBorders>
        <w:top w:val="single" w:sz="8" w:space="0" w:color="FFE512" w:themeColor="accent5"/>
        <w:left w:val="single" w:sz="8" w:space="0" w:color="FFE512" w:themeColor="accent5"/>
        <w:bottom w:val="single" w:sz="8" w:space="0" w:color="FFE512" w:themeColor="accent5"/>
        <w:right w:val="single" w:sz="8" w:space="0" w:color="FFE512" w:themeColor="accent5"/>
        <w:insideH w:val="single" w:sz="8" w:space="0" w:color="FFE512" w:themeColor="accent5"/>
        <w:insideV w:val="single" w:sz="8" w:space="0" w:color="FFE512" w:themeColor="accent5"/>
      </w:tblBorders>
      <w:tblCellMar>
        <w:top w:w="0" w:type="dxa"/>
        <w:left w:w="108" w:type="dxa"/>
        <w:bottom w:w="0" w:type="dxa"/>
        <w:right w:w="108" w:type="dxa"/>
      </w:tblCellMar>
    </w:tblPr>
    <w:tcPr>
      <w:shd w:val="clear" w:color="auto" w:fill="FFF8C4" w:themeFill="accent5" w:themeFillTint="3F"/>
    </w:tcPr>
    <w:tblStylePr w:type="firstRow">
      <w:rPr>
        <w:b/>
        <w:bCs/>
        <w:color w:val="000000" w:themeColor="text1"/>
      </w:rPr>
      <w:tblPr/>
      <w:tcPr>
        <w:shd w:val="clear" w:color="auto" w:fill="FFFCE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9CF" w:themeFill="accent5" w:themeFillTint="33"/>
      </w:tcPr>
    </w:tblStylePr>
    <w:tblStylePr w:type="band1Vert">
      <w:tblPr/>
      <w:tcPr>
        <w:shd w:val="clear" w:color="auto" w:fill="FFF288" w:themeFill="accent5" w:themeFillTint="7F"/>
      </w:tcPr>
    </w:tblStylePr>
    <w:tblStylePr w:type="band1Horz">
      <w:tblPr/>
      <w:tcPr>
        <w:tcBorders>
          <w:insideH w:val="single" w:sz="6" w:space="0" w:color="FFE512" w:themeColor="accent5"/>
          <w:insideV w:val="single" w:sz="6" w:space="0" w:color="FFE512" w:themeColor="accent5"/>
        </w:tcBorders>
        <w:shd w:val="clear" w:color="auto" w:fill="FFF288"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9E6ED7"/>
    <w:rPr>
      <w:rFonts w:asciiTheme="majorHAnsi" w:eastAsiaTheme="majorEastAsia" w:hAnsiTheme="majorHAnsi" w:cstheme="majorBidi"/>
      <w:color w:val="000000" w:themeColor="text1"/>
    </w:rPr>
    <w:tblPr>
      <w:tblStyleRowBandSize w:val="1"/>
      <w:tblStyleColBandSize w:val="1"/>
      <w:tblInd w:w="0" w:type="dxa"/>
      <w:tblBorders>
        <w:top w:val="single" w:sz="8" w:space="0" w:color="8C8279" w:themeColor="accent6"/>
        <w:left w:val="single" w:sz="8" w:space="0" w:color="8C8279" w:themeColor="accent6"/>
        <w:bottom w:val="single" w:sz="8" w:space="0" w:color="8C8279" w:themeColor="accent6"/>
        <w:right w:val="single" w:sz="8" w:space="0" w:color="8C8279" w:themeColor="accent6"/>
        <w:insideH w:val="single" w:sz="8" w:space="0" w:color="8C8279" w:themeColor="accent6"/>
        <w:insideV w:val="single" w:sz="8" w:space="0" w:color="8C8279" w:themeColor="accent6"/>
      </w:tblBorders>
      <w:tblCellMar>
        <w:top w:w="0" w:type="dxa"/>
        <w:left w:w="108" w:type="dxa"/>
        <w:bottom w:w="0" w:type="dxa"/>
        <w:right w:w="108" w:type="dxa"/>
      </w:tblCellMar>
    </w:tblPr>
    <w:tcPr>
      <w:shd w:val="clear" w:color="auto" w:fill="E2E0DD" w:themeFill="accent6" w:themeFillTint="3F"/>
    </w:tcPr>
    <w:tblStylePr w:type="firstRow">
      <w:rPr>
        <w:b/>
        <w:bCs/>
        <w:color w:val="000000" w:themeColor="text1"/>
      </w:rPr>
      <w:tblPr/>
      <w:tcPr>
        <w:shd w:val="clear" w:color="auto" w:fill="F3F2F1"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E5E4" w:themeFill="accent6" w:themeFillTint="33"/>
      </w:tcPr>
    </w:tblStylePr>
    <w:tblStylePr w:type="band1Vert">
      <w:tblPr/>
      <w:tcPr>
        <w:shd w:val="clear" w:color="auto" w:fill="C5C0BC" w:themeFill="accent6" w:themeFillTint="7F"/>
      </w:tcPr>
    </w:tblStylePr>
    <w:tblStylePr w:type="band1Horz">
      <w:tblPr/>
      <w:tcPr>
        <w:tcBorders>
          <w:insideH w:val="single" w:sz="6" w:space="0" w:color="8C8279" w:themeColor="accent6"/>
          <w:insideV w:val="single" w:sz="6" w:space="0" w:color="8C8279" w:themeColor="accent6"/>
        </w:tcBorders>
        <w:shd w:val="clear" w:color="auto" w:fill="C5C0BC"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9E6ED7"/>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9E6ED7"/>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B8F0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5E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5E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5E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5E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1E2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1E2FF" w:themeFill="accent1" w:themeFillTint="7F"/>
      </w:tcPr>
    </w:tblStylePr>
  </w:style>
  <w:style w:type="table" w:styleId="MediumGrid3-Accent2">
    <w:name w:val="Medium Grid 3 Accent 2"/>
    <w:basedOn w:val="TableNormal"/>
    <w:uiPriority w:val="69"/>
    <w:semiHidden/>
    <w:unhideWhenUsed/>
    <w:rsid w:val="009E6ED7"/>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7FFA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4BD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4BD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4BD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4BD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EFF5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EFF5F" w:themeFill="accent2" w:themeFillTint="7F"/>
      </w:tcPr>
    </w:tblStylePr>
  </w:style>
  <w:style w:type="table" w:styleId="MediumGrid3-Accent3">
    <w:name w:val="Medium Grid 3 Accent 3"/>
    <w:basedOn w:val="TableNormal"/>
    <w:uiPriority w:val="69"/>
    <w:semiHidden/>
    <w:unhideWhenUsed/>
    <w:rsid w:val="009E6ED7"/>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CE2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68B1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68B1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68B1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68B1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C58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C58F" w:themeFill="accent3" w:themeFillTint="7F"/>
      </w:tcPr>
    </w:tblStylePr>
  </w:style>
  <w:style w:type="table" w:styleId="MediumGrid3-Accent4">
    <w:name w:val="Medium Grid 3 Accent 4"/>
    <w:basedOn w:val="TableNormal"/>
    <w:uiPriority w:val="69"/>
    <w:semiHidden/>
    <w:unhideWhenUsed/>
    <w:rsid w:val="009E6ED7"/>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FA8E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E007E"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E007E"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E007E"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E007E"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4FD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4FDB" w:themeFill="accent4" w:themeFillTint="7F"/>
      </w:tcPr>
    </w:tblStylePr>
  </w:style>
  <w:style w:type="table" w:styleId="MediumGrid3-Accent5">
    <w:name w:val="Medium Grid 3 Accent 5"/>
    <w:basedOn w:val="TableNormal"/>
    <w:uiPriority w:val="69"/>
    <w:semiHidden/>
    <w:unhideWhenUsed/>
    <w:rsid w:val="009E6ED7"/>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FF8C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E512"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E512"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E512"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E512"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288"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288" w:themeFill="accent5" w:themeFillTint="7F"/>
      </w:tcPr>
    </w:tblStylePr>
  </w:style>
  <w:style w:type="table" w:styleId="MediumGrid3-Accent6">
    <w:name w:val="Medium Grid 3 Accent 6"/>
    <w:basedOn w:val="TableNormal"/>
    <w:uiPriority w:val="69"/>
    <w:semiHidden/>
    <w:unhideWhenUsed/>
    <w:rsid w:val="009E6ED7"/>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2E0DD"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C8279"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C8279"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C8279"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C8279"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5C0BC"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5C0BC" w:themeFill="accent6" w:themeFillTint="7F"/>
      </w:tcPr>
    </w:tblStylePr>
  </w:style>
  <w:style w:type="table" w:styleId="MediumList1">
    <w:name w:val="Medium List 1"/>
    <w:basedOn w:val="TableNormal"/>
    <w:uiPriority w:val="65"/>
    <w:semiHidden/>
    <w:unhideWhenUsed/>
    <w:rsid w:val="009E6ED7"/>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9E6ED7"/>
    <w:rPr>
      <w:color w:val="000000" w:themeColor="text1"/>
    </w:rPr>
    <w:tblPr>
      <w:tblStyleRowBandSize w:val="1"/>
      <w:tblStyleColBandSize w:val="1"/>
      <w:tblInd w:w="0" w:type="dxa"/>
      <w:tblBorders>
        <w:top w:val="single" w:sz="8" w:space="0" w:color="00B5E2" w:themeColor="accent1"/>
        <w:bottom w:val="single" w:sz="8" w:space="0" w:color="00B5E2"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B5E2" w:themeColor="accent1"/>
        </w:tcBorders>
      </w:tcPr>
    </w:tblStylePr>
    <w:tblStylePr w:type="lastRow">
      <w:rPr>
        <w:b/>
        <w:bCs/>
        <w:color w:val="000000" w:themeColor="text2"/>
      </w:rPr>
      <w:tblPr/>
      <w:tcPr>
        <w:tcBorders>
          <w:top w:val="single" w:sz="8" w:space="0" w:color="00B5E2" w:themeColor="accent1"/>
          <w:bottom w:val="single" w:sz="8" w:space="0" w:color="00B5E2" w:themeColor="accent1"/>
        </w:tcBorders>
      </w:tcPr>
    </w:tblStylePr>
    <w:tblStylePr w:type="firstCol">
      <w:rPr>
        <w:b/>
        <w:bCs/>
      </w:rPr>
    </w:tblStylePr>
    <w:tblStylePr w:type="lastCol">
      <w:rPr>
        <w:b/>
        <w:bCs/>
      </w:rPr>
      <w:tblPr/>
      <w:tcPr>
        <w:tcBorders>
          <w:top w:val="single" w:sz="8" w:space="0" w:color="00B5E2" w:themeColor="accent1"/>
          <w:bottom w:val="single" w:sz="8" w:space="0" w:color="00B5E2" w:themeColor="accent1"/>
        </w:tcBorders>
      </w:tcPr>
    </w:tblStylePr>
    <w:tblStylePr w:type="band1Vert">
      <w:tblPr/>
      <w:tcPr>
        <w:shd w:val="clear" w:color="auto" w:fill="B8F0FF" w:themeFill="accent1" w:themeFillTint="3F"/>
      </w:tcPr>
    </w:tblStylePr>
    <w:tblStylePr w:type="band1Horz">
      <w:tblPr/>
      <w:tcPr>
        <w:shd w:val="clear" w:color="auto" w:fill="B8F0FF" w:themeFill="accent1" w:themeFillTint="3F"/>
      </w:tcPr>
    </w:tblStylePr>
  </w:style>
  <w:style w:type="table" w:styleId="MediumList1-Accent2">
    <w:name w:val="Medium List 1 Accent 2"/>
    <w:basedOn w:val="TableNormal"/>
    <w:uiPriority w:val="65"/>
    <w:semiHidden/>
    <w:unhideWhenUsed/>
    <w:rsid w:val="009E6ED7"/>
    <w:rPr>
      <w:color w:val="000000" w:themeColor="text1"/>
    </w:rPr>
    <w:tblPr>
      <w:tblStyleRowBandSize w:val="1"/>
      <w:tblStyleColBandSize w:val="1"/>
      <w:tblInd w:w="0" w:type="dxa"/>
      <w:tblBorders>
        <w:top w:val="single" w:sz="8" w:space="0" w:color="84BD00" w:themeColor="accent2"/>
        <w:bottom w:val="single" w:sz="8" w:space="0" w:color="84BD00"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4BD00" w:themeColor="accent2"/>
        </w:tcBorders>
      </w:tcPr>
    </w:tblStylePr>
    <w:tblStylePr w:type="lastRow">
      <w:rPr>
        <w:b/>
        <w:bCs/>
        <w:color w:val="000000" w:themeColor="text2"/>
      </w:rPr>
      <w:tblPr/>
      <w:tcPr>
        <w:tcBorders>
          <w:top w:val="single" w:sz="8" w:space="0" w:color="84BD00" w:themeColor="accent2"/>
          <w:bottom w:val="single" w:sz="8" w:space="0" w:color="84BD00" w:themeColor="accent2"/>
        </w:tcBorders>
      </w:tcPr>
    </w:tblStylePr>
    <w:tblStylePr w:type="firstCol">
      <w:rPr>
        <w:b/>
        <w:bCs/>
      </w:rPr>
    </w:tblStylePr>
    <w:tblStylePr w:type="lastCol">
      <w:rPr>
        <w:b/>
        <w:bCs/>
      </w:rPr>
      <w:tblPr/>
      <w:tcPr>
        <w:tcBorders>
          <w:top w:val="single" w:sz="8" w:space="0" w:color="84BD00" w:themeColor="accent2"/>
          <w:bottom w:val="single" w:sz="8" w:space="0" w:color="84BD00" w:themeColor="accent2"/>
        </w:tcBorders>
      </w:tcPr>
    </w:tblStylePr>
    <w:tblStylePr w:type="band1Vert">
      <w:tblPr/>
      <w:tcPr>
        <w:shd w:val="clear" w:color="auto" w:fill="E7FFAF" w:themeFill="accent2" w:themeFillTint="3F"/>
      </w:tcPr>
    </w:tblStylePr>
    <w:tblStylePr w:type="band1Horz">
      <w:tblPr/>
      <w:tcPr>
        <w:shd w:val="clear" w:color="auto" w:fill="E7FFAF" w:themeFill="accent2" w:themeFillTint="3F"/>
      </w:tcPr>
    </w:tblStylePr>
  </w:style>
  <w:style w:type="table" w:styleId="MediumList1-Accent3">
    <w:name w:val="Medium List 1 Accent 3"/>
    <w:basedOn w:val="TableNormal"/>
    <w:uiPriority w:val="65"/>
    <w:semiHidden/>
    <w:unhideWhenUsed/>
    <w:rsid w:val="009E6ED7"/>
    <w:rPr>
      <w:color w:val="000000" w:themeColor="text1"/>
    </w:rPr>
    <w:tblPr>
      <w:tblStyleRowBandSize w:val="1"/>
      <w:tblStyleColBandSize w:val="1"/>
      <w:tblInd w:w="0" w:type="dxa"/>
      <w:tblBorders>
        <w:top w:val="single" w:sz="8" w:space="0" w:color="F68B1F" w:themeColor="accent3"/>
        <w:bottom w:val="single" w:sz="8" w:space="0" w:color="F68B1F"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68B1F" w:themeColor="accent3"/>
        </w:tcBorders>
      </w:tcPr>
    </w:tblStylePr>
    <w:tblStylePr w:type="lastRow">
      <w:rPr>
        <w:b/>
        <w:bCs/>
        <w:color w:val="000000" w:themeColor="text2"/>
      </w:rPr>
      <w:tblPr/>
      <w:tcPr>
        <w:tcBorders>
          <w:top w:val="single" w:sz="8" w:space="0" w:color="F68B1F" w:themeColor="accent3"/>
          <w:bottom w:val="single" w:sz="8" w:space="0" w:color="F68B1F" w:themeColor="accent3"/>
        </w:tcBorders>
      </w:tcPr>
    </w:tblStylePr>
    <w:tblStylePr w:type="firstCol">
      <w:rPr>
        <w:b/>
        <w:bCs/>
      </w:rPr>
    </w:tblStylePr>
    <w:tblStylePr w:type="lastCol">
      <w:rPr>
        <w:b/>
        <w:bCs/>
      </w:rPr>
      <w:tblPr/>
      <w:tcPr>
        <w:tcBorders>
          <w:top w:val="single" w:sz="8" w:space="0" w:color="F68B1F" w:themeColor="accent3"/>
          <w:bottom w:val="single" w:sz="8" w:space="0" w:color="F68B1F" w:themeColor="accent3"/>
        </w:tcBorders>
      </w:tcPr>
    </w:tblStylePr>
    <w:tblStylePr w:type="band1Vert">
      <w:tblPr/>
      <w:tcPr>
        <w:shd w:val="clear" w:color="auto" w:fill="FCE2C7" w:themeFill="accent3" w:themeFillTint="3F"/>
      </w:tcPr>
    </w:tblStylePr>
    <w:tblStylePr w:type="band1Horz">
      <w:tblPr/>
      <w:tcPr>
        <w:shd w:val="clear" w:color="auto" w:fill="FCE2C7" w:themeFill="accent3" w:themeFillTint="3F"/>
      </w:tcPr>
    </w:tblStylePr>
  </w:style>
  <w:style w:type="table" w:styleId="MediumList1-Accent4">
    <w:name w:val="Medium List 1 Accent 4"/>
    <w:basedOn w:val="TableNormal"/>
    <w:uiPriority w:val="65"/>
    <w:semiHidden/>
    <w:unhideWhenUsed/>
    <w:rsid w:val="009E6ED7"/>
    <w:rPr>
      <w:color w:val="000000" w:themeColor="text1"/>
    </w:rPr>
    <w:tblPr>
      <w:tblStyleRowBandSize w:val="1"/>
      <w:tblStyleColBandSize w:val="1"/>
      <w:tblInd w:w="0" w:type="dxa"/>
      <w:tblBorders>
        <w:top w:val="single" w:sz="8" w:space="0" w:color="9E007E" w:themeColor="accent4"/>
        <w:bottom w:val="single" w:sz="8" w:space="0" w:color="9E007E"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E007E" w:themeColor="accent4"/>
        </w:tcBorders>
      </w:tcPr>
    </w:tblStylePr>
    <w:tblStylePr w:type="lastRow">
      <w:rPr>
        <w:b/>
        <w:bCs/>
        <w:color w:val="000000" w:themeColor="text2"/>
      </w:rPr>
      <w:tblPr/>
      <w:tcPr>
        <w:tcBorders>
          <w:top w:val="single" w:sz="8" w:space="0" w:color="9E007E" w:themeColor="accent4"/>
          <w:bottom w:val="single" w:sz="8" w:space="0" w:color="9E007E" w:themeColor="accent4"/>
        </w:tcBorders>
      </w:tcPr>
    </w:tblStylePr>
    <w:tblStylePr w:type="firstCol">
      <w:rPr>
        <w:b/>
        <w:bCs/>
      </w:rPr>
    </w:tblStylePr>
    <w:tblStylePr w:type="lastCol">
      <w:rPr>
        <w:b/>
        <w:bCs/>
      </w:rPr>
      <w:tblPr/>
      <w:tcPr>
        <w:tcBorders>
          <w:top w:val="single" w:sz="8" w:space="0" w:color="9E007E" w:themeColor="accent4"/>
          <w:bottom w:val="single" w:sz="8" w:space="0" w:color="9E007E" w:themeColor="accent4"/>
        </w:tcBorders>
      </w:tcPr>
    </w:tblStylePr>
    <w:tblStylePr w:type="band1Vert">
      <w:tblPr/>
      <w:tcPr>
        <w:shd w:val="clear" w:color="auto" w:fill="FFA8ED" w:themeFill="accent4" w:themeFillTint="3F"/>
      </w:tcPr>
    </w:tblStylePr>
    <w:tblStylePr w:type="band1Horz">
      <w:tblPr/>
      <w:tcPr>
        <w:shd w:val="clear" w:color="auto" w:fill="FFA8ED" w:themeFill="accent4" w:themeFillTint="3F"/>
      </w:tcPr>
    </w:tblStylePr>
  </w:style>
  <w:style w:type="table" w:styleId="MediumList1-Accent5">
    <w:name w:val="Medium List 1 Accent 5"/>
    <w:basedOn w:val="TableNormal"/>
    <w:uiPriority w:val="65"/>
    <w:semiHidden/>
    <w:unhideWhenUsed/>
    <w:rsid w:val="009E6ED7"/>
    <w:rPr>
      <w:color w:val="000000" w:themeColor="text1"/>
    </w:rPr>
    <w:tblPr>
      <w:tblStyleRowBandSize w:val="1"/>
      <w:tblStyleColBandSize w:val="1"/>
      <w:tblInd w:w="0" w:type="dxa"/>
      <w:tblBorders>
        <w:top w:val="single" w:sz="8" w:space="0" w:color="FFE512" w:themeColor="accent5"/>
        <w:bottom w:val="single" w:sz="8" w:space="0" w:color="FFE512"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FE512" w:themeColor="accent5"/>
        </w:tcBorders>
      </w:tcPr>
    </w:tblStylePr>
    <w:tblStylePr w:type="lastRow">
      <w:rPr>
        <w:b/>
        <w:bCs/>
        <w:color w:val="000000" w:themeColor="text2"/>
      </w:rPr>
      <w:tblPr/>
      <w:tcPr>
        <w:tcBorders>
          <w:top w:val="single" w:sz="8" w:space="0" w:color="FFE512" w:themeColor="accent5"/>
          <w:bottom w:val="single" w:sz="8" w:space="0" w:color="FFE512" w:themeColor="accent5"/>
        </w:tcBorders>
      </w:tcPr>
    </w:tblStylePr>
    <w:tblStylePr w:type="firstCol">
      <w:rPr>
        <w:b/>
        <w:bCs/>
      </w:rPr>
    </w:tblStylePr>
    <w:tblStylePr w:type="lastCol">
      <w:rPr>
        <w:b/>
        <w:bCs/>
      </w:rPr>
      <w:tblPr/>
      <w:tcPr>
        <w:tcBorders>
          <w:top w:val="single" w:sz="8" w:space="0" w:color="FFE512" w:themeColor="accent5"/>
          <w:bottom w:val="single" w:sz="8" w:space="0" w:color="FFE512" w:themeColor="accent5"/>
        </w:tcBorders>
      </w:tcPr>
    </w:tblStylePr>
    <w:tblStylePr w:type="band1Vert">
      <w:tblPr/>
      <w:tcPr>
        <w:shd w:val="clear" w:color="auto" w:fill="FFF8C4" w:themeFill="accent5" w:themeFillTint="3F"/>
      </w:tcPr>
    </w:tblStylePr>
    <w:tblStylePr w:type="band1Horz">
      <w:tblPr/>
      <w:tcPr>
        <w:shd w:val="clear" w:color="auto" w:fill="FFF8C4" w:themeFill="accent5" w:themeFillTint="3F"/>
      </w:tcPr>
    </w:tblStylePr>
  </w:style>
  <w:style w:type="table" w:styleId="MediumList1-Accent6">
    <w:name w:val="Medium List 1 Accent 6"/>
    <w:basedOn w:val="TableNormal"/>
    <w:uiPriority w:val="65"/>
    <w:semiHidden/>
    <w:unhideWhenUsed/>
    <w:rsid w:val="009E6ED7"/>
    <w:rPr>
      <w:color w:val="000000" w:themeColor="text1"/>
    </w:rPr>
    <w:tblPr>
      <w:tblStyleRowBandSize w:val="1"/>
      <w:tblStyleColBandSize w:val="1"/>
      <w:tblInd w:w="0" w:type="dxa"/>
      <w:tblBorders>
        <w:top w:val="single" w:sz="8" w:space="0" w:color="8C8279" w:themeColor="accent6"/>
        <w:bottom w:val="single" w:sz="8" w:space="0" w:color="8C8279"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C8279" w:themeColor="accent6"/>
        </w:tcBorders>
      </w:tcPr>
    </w:tblStylePr>
    <w:tblStylePr w:type="lastRow">
      <w:rPr>
        <w:b/>
        <w:bCs/>
        <w:color w:val="000000" w:themeColor="text2"/>
      </w:rPr>
      <w:tblPr/>
      <w:tcPr>
        <w:tcBorders>
          <w:top w:val="single" w:sz="8" w:space="0" w:color="8C8279" w:themeColor="accent6"/>
          <w:bottom w:val="single" w:sz="8" w:space="0" w:color="8C8279" w:themeColor="accent6"/>
        </w:tcBorders>
      </w:tcPr>
    </w:tblStylePr>
    <w:tblStylePr w:type="firstCol">
      <w:rPr>
        <w:b/>
        <w:bCs/>
      </w:rPr>
    </w:tblStylePr>
    <w:tblStylePr w:type="lastCol">
      <w:rPr>
        <w:b/>
        <w:bCs/>
      </w:rPr>
      <w:tblPr/>
      <w:tcPr>
        <w:tcBorders>
          <w:top w:val="single" w:sz="8" w:space="0" w:color="8C8279" w:themeColor="accent6"/>
          <w:bottom w:val="single" w:sz="8" w:space="0" w:color="8C8279" w:themeColor="accent6"/>
        </w:tcBorders>
      </w:tcPr>
    </w:tblStylePr>
    <w:tblStylePr w:type="band1Vert">
      <w:tblPr/>
      <w:tcPr>
        <w:shd w:val="clear" w:color="auto" w:fill="E2E0DD" w:themeFill="accent6" w:themeFillTint="3F"/>
      </w:tcPr>
    </w:tblStylePr>
    <w:tblStylePr w:type="band1Horz">
      <w:tblPr/>
      <w:tcPr>
        <w:shd w:val="clear" w:color="auto" w:fill="E2E0DD" w:themeFill="accent6" w:themeFillTint="3F"/>
      </w:tcPr>
    </w:tblStylePr>
  </w:style>
  <w:style w:type="table" w:styleId="MediumList2">
    <w:name w:val="Medium List 2"/>
    <w:basedOn w:val="TableNormal"/>
    <w:uiPriority w:val="66"/>
    <w:semiHidden/>
    <w:unhideWhenUsed/>
    <w:rsid w:val="009E6ED7"/>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9E6ED7"/>
    <w:rPr>
      <w:rFonts w:asciiTheme="majorHAnsi" w:eastAsiaTheme="majorEastAsia" w:hAnsiTheme="majorHAnsi" w:cstheme="majorBidi"/>
      <w:color w:val="000000" w:themeColor="text1"/>
    </w:rPr>
    <w:tblPr>
      <w:tblStyleRowBandSize w:val="1"/>
      <w:tblStyleColBandSize w:val="1"/>
      <w:tblInd w:w="0" w:type="dxa"/>
      <w:tblBorders>
        <w:top w:val="single" w:sz="8" w:space="0" w:color="00B5E2" w:themeColor="accent1"/>
        <w:left w:val="single" w:sz="8" w:space="0" w:color="00B5E2" w:themeColor="accent1"/>
        <w:bottom w:val="single" w:sz="8" w:space="0" w:color="00B5E2" w:themeColor="accent1"/>
        <w:right w:val="single" w:sz="8" w:space="0" w:color="00B5E2"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B5E2" w:themeColor="accent1"/>
          <w:right w:val="nil"/>
          <w:insideH w:val="nil"/>
          <w:insideV w:val="nil"/>
        </w:tcBorders>
        <w:shd w:val="clear" w:color="auto" w:fill="FFFFFF" w:themeFill="background1"/>
      </w:tcPr>
    </w:tblStylePr>
    <w:tblStylePr w:type="lastRow">
      <w:tblPr/>
      <w:tcPr>
        <w:tcBorders>
          <w:top w:val="single" w:sz="8" w:space="0" w:color="00B5E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5E2" w:themeColor="accent1"/>
          <w:insideH w:val="nil"/>
          <w:insideV w:val="nil"/>
        </w:tcBorders>
        <w:shd w:val="clear" w:color="auto" w:fill="FFFFFF" w:themeFill="background1"/>
      </w:tcPr>
    </w:tblStylePr>
    <w:tblStylePr w:type="lastCol">
      <w:tblPr/>
      <w:tcPr>
        <w:tcBorders>
          <w:top w:val="nil"/>
          <w:left w:val="single" w:sz="8" w:space="0" w:color="00B5E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8F0FF" w:themeFill="accent1" w:themeFillTint="3F"/>
      </w:tcPr>
    </w:tblStylePr>
    <w:tblStylePr w:type="band1Horz">
      <w:tblPr/>
      <w:tcPr>
        <w:tcBorders>
          <w:top w:val="nil"/>
          <w:bottom w:val="nil"/>
          <w:insideH w:val="nil"/>
          <w:insideV w:val="nil"/>
        </w:tcBorders>
        <w:shd w:val="clear" w:color="auto" w:fill="B8F0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9E6ED7"/>
    <w:rPr>
      <w:rFonts w:asciiTheme="majorHAnsi" w:eastAsiaTheme="majorEastAsia" w:hAnsiTheme="majorHAnsi" w:cstheme="majorBidi"/>
      <w:color w:val="000000" w:themeColor="text1"/>
    </w:rPr>
    <w:tblPr>
      <w:tblStyleRowBandSize w:val="1"/>
      <w:tblStyleColBandSize w:val="1"/>
      <w:tblInd w:w="0" w:type="dxa"/>
      <w:tblBorders>
        <w:top w:val="single" w:sz="8" w:space="0" w:color="84BD00" w:themeColor="accent2"/>
        <w:left w:val="single" w:sz="8" w:space="0" w:color="84BD00" w:themeColor="accent2"/>
        <w:bottom w:val="single" w:sz="8" w:space="0" w:color="84BD00" w:themeColor="accent2"/>
        <w:right w:val="single" w:sz="8" w:space="0" w:color="84BD00"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84BD00" w:themeColor="accent2"/>
          <w:right w:val="nil"/>
          <w:insideH w:val="nil"/>
          <w:insideV w:val="nil"/>
        </w:tcBorders>
        <w:shd w:val="clear" w:color="auto" w:fill="FFFFFF" w:themeFill="background1"/>
      </w:tcPr>
    </w:tblStylePr>
    <w:tblStylePr w:type="lastRow">
      <w:tblPr/>
      <w:tcPr>
        <w:tcBorders>
          <w:top w:val="single" w:sz="8" w:space="0" w:color="84BD0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4BD00" w:themeColor="accent2"/>
          <w:insideH w:val="nil"/>
          <w:insideV w:val="nil"/>
        </w:tcBorders>
        <w:shd w:val="clear" w:color="auto" w:fill="FFFFFF" w:themeFill="background1"/>
      </w:tcPr>
    </w:tblStylePr>
    <w:tblStylePr w:type="lastCol">
      <w:tblPr/>
      <w:tcPr>
        <w:tcBorders>
          <w:top w:val="nil"/>
          <w:left w:val="single" w:sz="8" w:space="0" w:color="84BD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FFAF" w:themeFill="accent2" w:themeFillTint="3F"/>
      </w:tcPr>
    </w:tblStylePr>
    <w:tblStylePr w:type="band1Horz">
      <w:tblPr/>
      <w:tcPr>
        <w:tcBorders>
          <w:top w:val="nil"/>
          <w:bottom w:val="nil"/>
          <w:insideH w:val="nil"/>
          <w:insideV w:val="nil"/>
        </w:tcBorders>
        <w:shd w:val="clear" w:color="auto" w:fill="E7FFA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9E6ED7"/>
    <w:rPr>
      <w:rFonts w:asciiTheme="majorHAnsi" w:eastAsiaTheme="majorEastAsia" w:hAnsiTheme="majorHAnsi" w:cstheme="majorBidi"/>
      <w:color w:val="000000" w:themeColor="text1"/>
    </w:rPr>
    <w:tblPr>
      <w:tblStyleRowBandSize w:val="1"/>
      <w:tblStyleColBandSize w:val="1"/>
      <w:tblInd w:w="0" w:type="dxa"/>
      <w:tblBorders>
        <w:top w:val="single" w:sz="8" w:space="0" w:color="F68B1F" w:themeColor="accent3"/>
        <w:left w:val="single" w:sz="8" w:space="0" w:color="F68B1F" w:themeColor="accent3"/>
        <w:bottom w:val="single" w:sz="8" w:space="0" w:color="F68B1F" w:themeColor="accent3"/>
        <w:right w:val="single" w:sz="8" w:space="0" w:color="F68B1F"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F68B1F" w:themeColor="accent3"/>
          <w:right w:val="nil"/>
          <w:insideH w:val="nil"/>
          <w:insideV w:val="nil"/>
        </w:tcBorders>
        <w:shd w:val="clear" w:color="auto" w:fill="FFFFFF" w:themeFill="background1"/>
      </w:tcPr>
    </w:tblStylePr>
    <w:tblStylePr w:type="lastRow">
      <w:tblPr/>
      <w:tcPr>
        <w:tcBorders>
          <w:top w:val="single" w:sz="8" w:space="0" w:color="F68B1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68B1F" w:themeColor="accent3"/>
          <w:insideH w:val="nil"/>
          <w:insideV w:val="nil"/>
        </w:tcBorders>
        <w:shd w:val="clear" w:color="auto" w:fill="FFFFFF" w:themeFill="background1"/>
      </w:tcPr>
    </w:tblStylePr>
    <w:tblStylePr w:type="lastCol">
      <w:tblPr/>
      <w:tcPr>
        <w:tcBorders>
          <w:top w:val="nil"/>
          <w:left w:val="single" w:sz="8" w:space="0" w:color="F68B1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2C7" w:themeFill="accent3" w:themeFillTint="3F"/>
      </w:tcPr>
    </w:tblStylePr>
    <w:tblStylePr w:type="band1Horz">
      <w:tblPr/>
      <w:tcPr>
        <w:tcBorders>
          <w:top w:val="nil"/>
          <w:bottom w:val="nil"/>
          <w:insideH w:val="nil"/>
          <w:insideV w:val="nil"/>
        </w:tcBorders>
        <w:shd w:val="clear" w:color="auto" w:fill="FCE2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9E6ED7"/>
    <w:rPr>
      <w:rFonts w:asciiTheme="majorHAnsi" w:eastAsiaTheme="majorEastAsia" w:hAnsiTheme="majorHAnsi" w:cstheme="majorBidi"/>
      <w:color w:val="000000" w:themeColor="text1"/>
    </w:rPr>
    <w:tblPr>
      <w:tblStyleRowBandSize w:val="1"/>
      <w:tblStyleColBandSize w:val="1"/>
      <w:tblInd w:w="0" w:type="dxa"/>
      <w:tblBorders>
        <w:top w:val="single" w:sz="8" w:space="0" w:color="9E007E" w:themeColor="accent4"/>
        <w:left w:val="single" w:sz="8" w:space="0" w:color="9E007E" w:themeColor="accent4"/>
        <w:bottom w:val="single" w:sz="8" w:space="0" w:color="9E007E" w:themeColor="accent4"/>
        <w:right w:val="single" w:sz="8" w:space="0" w:color="9E007E"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9E007E" w:themeColor="accent4"/>
          <w:right w:val="nil"/>
          <w:insideH w:val="nil"/>
          <w:insideV w:val="nil"/>
        </w:tcBorders>
        <w:shd w:val="clear" w:color="auto" w:fill="FFFFFF" w:themeFill="background1"/>
      </w:tcPr>
    </w:tblStylePr>
    <w:tblStylePr w:type="lastRow">
      <w:tblPr/>
      <w:tcPr>
        <w:tcBorders>
          <w:top w:val="single" w:sz="8" w:space="0" w:color="9E007E"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E007E" w:themeColor="accent4"/>
          <w:insideH w:val="nil"/>
          <w:insideV w:val="nil"/>
        </w:tcBorders>
        <w:shd w:val="clear" w:color="auto" w:fill="FFFFFF" w:themeFill="background1"/>
      </w:tcPr>
    </w:tblStylePr>
    <w:tblStylePr w:type="lastCol">
      <w:tblPr/>
      <w:tcPr>
        <w:tcBorders>
          <w:top w:val="nil"/>
          <w:left w:val="single" w:sz="8" w:space="0" w:color="9E007E"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A8ED" w:themeFill="accent4" w:themeFillTint="3F"/>
      </w:tcPr>
    </w:tblStylePr>
    <w:tblStylePr w:type="band1Horz">
      <w:tblPr/>
      <w:tcPr>
        <w:tcBorders>
          <w:top w:val="nil"/>
          <w:bottom w:val="nil"/>
          <w:insideH w:val="nil"/>
          <w:insideV w:val="nil"/>
        </w:tcBorders>
        <w:shd w:val="clear" w:color="auto" w:fill="FFA8E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9E6ED7"/>
    <w:rPr>
      <w:rFonts w:asciiTheme="majorHAnsi" w:eastAsiaTheme="majorEastAsia" w:hAnsiTheme="majorHAnsi" w:cstheme="majorBidi"/>
      <w:color w:val="000000" w:themeColor="text1"/>
    </w:rPr>
    <w:tblPr>
      <w:tblStyleRowBandSize w:val="1"/>
      <w:tblStyleColBandSize w:val="1"/>
      <w:tblInd w:w="0" w:type="dxa"/>
      <w:tblBorders>
        <w:top w:val="single" w:sz="8" w:space="0" w:color="FFE512" w:themeColor="accent5"/>
        <w:left w:val="single" w:sz="8" w:space="0" w:color="FFE512" w:themeColor="accent5"/>
        <w:bottom w:val="single" w:sz="8" w:space="0" w:color="FFE512" w:themeColor="accent5"/>
        <w:right w:val="single" w:sz="8" w:space="0" w:color="FFE512"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FFE512" w:themeColor="accent5"/>
          <w:right w:val="nil"/>
          <w:insideH w:val="nil"/>
          <w:insideV w:val="nil"/>
        </w:tcBorders>
        <w:shd w:val="clear" w:color="auto" w:fill="FFFFFF" w:themeFill="background1"/>
      </w:tcPr>
    </w:tblStylePr>
    <w:tblStylePr w:type="lastRow">
      <w:tblPr/>
      <w:tcPr>
        <w:tcBorders>
          <w:top w:val="single" w:sz="8" w:space="0" w:color="FFE512"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E512" w:themeColor="accent5"/>
          <w:insideH w:val="nil"/>
          <w:insideV w:val="nil"/>
        </w:tcBorders>
        <w:shd w:val="clear" w:color="auto" w:fill="FFFFFF" w:themeFill="background1"/>
      </w:tcPr>
    </w:tblStylePr>
    <w:tblStylePr w:type="lastCol">
      <w:tblPr/>
      <w:tcPr>
        <w:tcBorders>
          <w:top w:val="nil"/>
          <w:left w:val="single" w:sz="8" w:space="0" w:color="FFE512"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8C4" w:themeFill="accent5" w:themeFillTint="3F"/>
      </w:tcPr>
    </w:tblStylePr>
    <w:tblStylePr w:type="band1Horz">
      <w:tblPr/>
      <w:tcPr>
        <w:tcBorders>
          <w:top w:val="nil"/>
          <w:bottom w:val="nil"/>
          <w:insideH w:val="nil"/>
          <w:insideV w:val="nil"/>
        </w:tcBorders>
        <w:shd w:val="clear" w:color="auto" w:fill="FFF8C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9E6ED7"/>
    <w:rPr>
      <w:rFonts w:asciiTheme="majorHAnsi" w:eastAsiaTheme="majorEastAsia" w:hAnsiTheme="majorHAnsi" w:cstheme="majorBidi"/>
      <w:color w:val="000000" w:themeColor="text1"/>
    </w:rPr>
    <w:tblPr>
      <w:tblStyleRowBandSize w:val="1"/>
      <w:tblStyleColBandSize w:val="1"/>
      <w:tblInd w:w="0" w:type="dxa"/>
      <w:tblBorders>
        <w:top w:val="single" w:sz="8" w:space="0" w:color="8C8279" w:themeColor="accent6"/>
        <w:left w:val="single" w:sz="8" w:space="0" w:color="8C8279" w:themeColor="accent6"/>
        <w:bottom w:val="single" w:sz="8" w:space="0" w:color="8C8279" w:themeColor="accent6"/>
        <w:right w:val="single" w:sz="8" w:space="0" w:color="8C8279"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8C8279" w:themeColor="accent6"/>
          <w:right w:val="nil"/>
          <w:insideH w:val="nil"/>
          <w:insideV w:val="nil"/>
        </w:tcBorders>
        <w:shd w:val="clear" w:color="auto" w:fill="FFFFFF" w:themeFill="background1"/>
      </w:tcPr>
    </w:tblStylePr>
    <w:tblStylePr w:type="lastRow">
      <w:tblPr/>
      <w:tcPr>
        <w:tcBorders>
          <w:top w:val="single" w:sz="8" w:space="0" w:color="8C827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C8279" w:themeColor="accent6"/>
          <w:insideH w:val="nil"/>
          <w:insideV w:val="nil"/>
        </w:tcBorders>
        <w:shd w:val="clear" w:color="auto" w:fill="FFFFFF" w:themeFill="background1"/>
      </w:tcPr>
    </w:tblStylePr>
    <w:tblStylePr w:type="lastCol">
      <w:tblPr/>
      <w:tcPr>
        <w:tcBorders>
          <w:top w:val="nil"/>
          <w:left w:val="single" w:sz="8" w:space="0" w:color="8C827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E0DD" w:themeFill="accent6" w:themeFillTint="3F"/>
      </w:tcPr>
    </w:tblStylePr>
    <w:tblStylePr w:type="band1Horz">
      <w:tblPr/>
      <w:tcPr>
        <w:tcBorders>
          <w:top w:val="nil"/>
          <w:bottom w:val="nil"/>
          <w:insideH w:val="nil"/>
          <w:insideV w:val="nil"/>
        </w:tcBorders>
        <w:shd w:val="clear" w:color="auto" w:fill="E2E0DD"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9E6ED7"/>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9E6ED7"/>
    <w:tblPr>
      <w:tblStyleRowBandSize w:val="1"/>
      <w:tblStyleColBandSize w:val="1"/>
      <w:tblInd w:w="0" w:type="dxa"/>
      <w:tblBorders>
        <w:top w:val="single" w:sz="8" w:space="0" w:color="2AD4FF" w:themeColor="accent1" w:themeTint="BF"/>
        <w:left w:val="single" w:sz="8" w:space="0" w:color="2AD4FF" w:themeColor="accent1" w:themeTint="BF"/>
        <w:bottom w:val="single" w:sz="8" w:space="0" w:color="2AD4FF" w:themeColor="accent1" w:themeTint="BF"/>
        <w:right w:val="single" w:sz="8" w:space="0" w:color="2AD4FF" w:themeColor="accent1" w:themeTint="BF"/>
        <w:insideH w:val="single" w:sz="8" w:space="0" w:color="2AD4FF"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2AD4FF" w:themeColor="accent1" w:themeTint="BF"/>
          <w:left w:val="single" w:sz="8" w:space="0" w:color="2AD4FF" w:themeColor="accent1" w:themeTint="BF"/>
          <w:bottom w:val="single" w:sz="8" w:space="0" w:color="2AD4FF" w:themeColor="accent1" w:themeTint="BF"/>
          <w:right w:val="single" w:sz="8" w:space="0" w:color="2AD4FF" w:themeColor="accent1" w:themeTint="BF"/>
          <w:insideH w:val="nil"/>
          <w:insideV w:val="nil"/>
        </w:tcBorders>
        <w:shd w:val="clear" w:color="auto" w:fill="00B5E2" w:themeFill="accent1"/>
      </w:tcPr>
    </w:tblStylePr>
    <w:tblStylePr w:type="lastRow">
      <w:pPr>
        <w:spacing w:before="0" w:after="0" w:line="240" w:lineRule="auto"/>
      </w:pPr>
      <w:rPr>
        <w:b/>
        <w:bCs/>
      </w:rPr>
      <w:tblPr/>
      <w:tcPr>
        <w:tcBorders>
          <w:top w:val="double" w:sz="6" w:space="0" w:color="2AD4FF" w:themeColor="accent1" w:themeTint="BF"/>
          <w:left w:val="single" w:sz="8" w:space="0" w:color="2AD4FF" w:themeColor="accent1" w:themeTint="BF"/>
          <w:bottom w:val="single" w:sz="8" w:space="0" w:color="2AD4FF" w:themeColor="accent1" w:themeTint="BF"/>
          <w:right w:val="single" w:sz="8" w:space="0" w:color="2AD4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8F0FF" w:themeFill="accent1" w:themeFillTint="3F"/>
      </w:tcPr>
    </w:tblStylePr>
    <w:tblStylePr w:type="band1Horz">
      <w:tblPr/>
      <w:tcPr>
        <w:tcBorders>
          <w:insideH w:val="nil"/>
          <w:insideV w:val="nil"/>
        </w:tcBorders>
        <w:shd w:val="clear" w:color="auto" w:fill="B8F0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9E6ED7"/>
    <w:tblPr>
      <w:tblStyleRowBandSize w:val="1"/>
      <w:tblStyleColBandSize w:val="1"/>
      <w:tblInd w:w="0" w:type="dxa"/>
      <w:tblBorders>
        <w:top w:val="single" w:sz="8" w:space="0" w:color="B6FF0E" w:themeColor="accent2" w:themeTint="BF"/>
        <w:left w:val="single" w:sz="8" w:space="0" w:color="B6FF0E" w:themeColor="accent2" w:themeTint="BF"/>
        <w:bottom w:val="single" w:sz="8" w:space="0" w:color="B6FF0E" w:themeColor="accent2" w:themeTint="BF"/>
        <w:right w:val="single" w:sz="8" w:space="0" w:color="B6FF0E" w:themeColor="accent2" w:themeTint="BF"/>
        <w:insideH w:val="single" w:sz="8" w:space="0" w:color="B6FF0E"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6FF0E" w:themeColor="accent2" w:themeTint="BF"/>
          <w:left w:val="single" w:sz="8" w:space="0" w:color="B6FF0E" w:themeColor="accent2" w:themeTint="BF"/>
          <w:bottom w:val="single" w:sz="8" w:space="0" w:color="B6FF0E" w:themeColor="accent2" w:themeTint="BF"/>
          <w:right w:val="single" w:sz="8" w:space="0" w:color="B6FF0E" w:themeColor="accent2" w:themeTint="BF"/>
          <w:insideH w:val="nil"/>
          <w:insideV w:val="nil"/>
        </w:tcBorders>
        <w:shd w:val="clear" w:color="auto" w:fill="84BD00" w:themeFill="accent2"/>
      </w:tcPr>
    </w:tblStylePr>
    <w:tblStylePr w:type="lastRow">
      <w:pPr>
        <w:spacing w:before="0" w:after="0" w:line="240" w:lineRule="auto"/>
      </w:pPr>
      <w:rPr>
        <w:b/>
        <w:bCs/>
      </w:rPr>
      <w:tblPr/>
      <w:tcPr>
        <w:tcBorders>
          <w:top w:val="double" w:sz="6" w:space="0" w:color="B6FF0E" w:themeColor="accent2" w:themeTint="BF"/>
          <w:left w:val="single" w:sz="8" w:space="0" w:color="B6FF0E" w:themeColor="accent2" w:themeTint="BF"/>
          <w:bottom w:val="single" w:sz="8" w:space="0" w:color="B6FF0E" w:themeColor="accent2" w:themeTint="BF"/>
          <w:right w:val="single" w:sz="8" w:space="0" w:color="B6FF0E" w:themeColor="accent2" w:themeTint="BF"/>
          <w:insideH w:val="nil"/>
          <w:insideV w:val="nil"/>
        </w:tcBorders>
      </w:tcPr>
    </w:tblStylePr>
    <w:tblStylePr w:type="firstCol">
      <w:rPr>
        <w:b/>
        <w:bCs/>
      </w:rPr>
    </w:tblStylePr>
    <w:tblStylePr w:type="lastCol">
      <w:rPr>
        <w:b/>
        <w:bCs/>
      </w:rPr>
    </w:tblStylePr>
    <w:tblStylePr w:type="band1Vert">
      <w:tblPr/>
      <w:tcPr>
        <w:shd w:val="clear" w:color="auto" w:fill="E7FFAF" w:themeFill="accent2" w:themeFillTint="3F"/>
      </w:tcPr>
    </w:tblStylePr>
    <w:tblStylePr w:type="band1Horz">
      <w:tblPr/>
      <w:tcPr>
        <w:tcBorders>
          <w:insideH w:val="nil"/>
          <w:insideV w:val="nil"/>
        </w:tcBorders>
        <w:shd w:val="clear" w:color="auto" w:fill="E7FFA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9E6ED7"/>
    <w:tblPr>
      <w:tblStyleRowBandSize w:val="1"/>
      <w:tblStyleColBandSize w:val="1"/>
      <w:tblInd w:w="0" w:type="dxa"/>
      <w:tblBorders>
        <w:top w:val="single" w:sz="8" w:space="0" w:color="F8A757" w:themeColor="accent3" w:themeTint="BF"/>
        <w:left w:val="single" w:sz="8" w:space="0" w:color="F8A757" w:themeColor="accent3" w:themeTint="BF"/>
        <w:bottom w:val="single" w:sz="8" w:space="0" w:color="F8A757" w:themeColor="accent3" w:themeTint="BF"/>
        <w:right w:val="single" w:sz="8" w:space="0" w:color="F8A757" w:themeColor="accent3" w:themeTint="BF"/>
        <w:insideH w:val="single" w:sz="8" w:space="0" w:color="F8A757"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8A757" w:themeColor="accent3" w:themeTint="BF"/>
          <w:left w:val="single" w:sz="8" w:space="0" w:color="F8A757" w:themeColor="accent3" w:themeTint="BF"/>
          <w:bottom w:val="single" w:sz="8" w:space="0" w:color="F8A757" w:themeColor="accent3" w:themeTint="BF"/>
          <w:right w:val="single" w:sz="8" w:space="0" w:color="F8A757" w:themeColor="accent3" w:themeTint="BF"/>
          <w:insideH w:val="nil"/>
          <w:insideV w:val="nil"/>
        </w:tcBorders>
        <w:shd w:val="clear" w:color="auto" w:fill="F68B1F" w:themeFill="accent3"/>
      </w:tcPr>
    </w:tblStylePr>
    <w:tblStylePr w:type="lastRow">
      <w:pPr>
        <w:spacing w:before="0" w:after="0" w:line="240" w:lineRule="auto"/>
      </w:pPr>
      <w:rPr>
        <w:b/>
        <w:bCs/>
      </w:rPr>
      <w:tblPr/>
      <w:tcPr>
        <w:tcBorders>
          <w:top w:val="double" w:sz="6" w:space="0" w:color="F8A757" w:themeColor="accent3" w:themeTint="BF"/>
          <w:left w:val="single" w:sz="8" w:space="0" w:color="F8A757" w:themeColor="accent3" w:themeTint="BF"/>
          <w:bottom w:val="single" w:sz="8" w:space="0" w:color="F8A757" w:themeColor="accent3" w:themeTint="BF"/>
          <w:right w:val="single" w:sz="8" w:space="0" w:color="F8A757" w:themeColor="accent3" w:themeTint="BF"/>
          <w:insideH w:val="nil"/>
          <w:insideV w:val="nil"/>
        </w:tcBorders>
      </w:tcPr>
    </w:tblStylePr>
    <w:tblStylePr w:type="firstCol">
      <w:rPr>
        <w:b/>
        <w:bCs/>
      </w:rPr>
    </w:tblStylePr>
    <w:tblStylePr w:type="lastCol">
      <w:rPr>
        <w:b/>
        <w:bCs/>
      </w:rPr>
    </w:tblStylePr>
    <w:tblStylePr w:type="band1Vert">
      <w:tblPr/>
      <w:tcPr>
        <w:shd w:val="clear" w:color="auto" w:fill="FCE2C7" w:themeFill="accent3" w:themeFillTint="3F"/>
      </w:tcPr>
    </w:tblStylePr>
    <w:tblStylePr w:type="band1Horz">
      <w:tblPr/>
      <w:tcPr>
        <w:tcBorders>
          <w:insideH w:val="nil"/>
          <w:insideV w:val="nil"/>
        </w:tcBorders>
        <w:shd w:val="clear" w:color="auto" w:fill="FCE2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9E6ED7"/>
    <w:tblPr>
      <w:tblStyleRowBandSize w:val="1"/>
      <w:tblStyleColBandSize w:val="1"/>
      <w:tblInd w:w="0" w:type="dxa"/>
      <w:tblBorders>
        <w:top w:val="single" w:sz="8" w:space="0" w:color="F600C4" w:themeColor="accent4" w:themeTint="BF"/>
        <w:left w:val="single" w:sz="8" w:space="0" w:color="F600C4" w:themeColor="accent4" w:themeTint="BF"/>
        <w:bottom w:val="single" w:sz="8" w:space="0" w:color="F600C4" w:themeColor="accent4" w:themeTint="BF"/>
        <w:right w:val="single" w:sz="8" w:space="0" w:color="F600C4" w:themeColor="accent4" w:themeTint="BF"/>
        <w:insideH w:val="single" w:sz="8" w:space="0" w:color="F600C4"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600C4" w:themeColor="accent4" w:themeTint="BF"/>
          <w:left w:val="single" w:sz="8" w:space="0" w:color="F600C4" w:themeColor="accent4" w:themeTint="BF"/>
          <w:bottom w:val="single" w:sz="8" w:space="0" w:color="F600C4" w:themeColor="accent4" w:themeTint="BF"/>
          <w:right w:val="single" w:sz="8" w:space="0" w:color="F600C4" w:themeColor="accent4" w:themeTint="BF"/>
          <w:insideH w:val="nil"/>
          <w:insideV w:val="nil"/>
        </w:tcBorders>
        <w:shd w:val="clear" w:color="auto" w:fill="9E007E" w:themeFill="accent4"/>
      </w:tcPr>
    </w:tblStylePr>
    <w:tblStylePr w:type="lastRow">
      <w:pPr>
        <w:spacing w:before="0" w:after="0" w:line="240" w:lineRule="auto"/>
      </w:pPr>
      <w:rPr>
        <w:b/>
        <w:bCs/>
      </w:rPr>
      <w:tblPr/>
      <w:tcPr>
        <w:tcBorders>
          <w:top w:val="double" w:sz="6" w:space="0" w:color="F600C4" w:themeColor="accent4" w:themeTint="BF"/>
          <w:left w:val="single" w:sz="8" w:space="0" w:color="F600C4" w:themeColor="accent4" w:themeTint="BF"/>
          <w:bottom w:val="single" w:sz="8" w:space="0" w:color="F600C4" w:themeColor="accent4" w:themeTint="BF"/>
          <w:right w:val="single" w:sz="8" w:space="0" w:color="F600C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A8ED" w:themeFill="accent4" w:themeFillTint="3F"/>
      </w:tcPr>
    </w:tblStylePr>
    <w:tblStylePr w:type="band1Horz">
      <w:tblPr/>
      <w:tcPr>
        <w:tcBorders>
          <w:insideH w:val="nil"/>
          <w:insideV w:val="nil"/>
        </w:tcBorders>
        <w:shd w:val="clear" w:color="auto" w:fill="FFA8ED"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9E6ED7"/>
    <w:tblPr>
      <w:tblStyleRowBandSize w:val="1"/>
      <w:tblStyleColBandSize w:val="1"/>
      <w:tblInd w:w="0" w:type="dxa"/>
      <w:tblBorders>
        <w:top w:val="single" w:sz="8" w:space="0" w:color="FFEB4D" w:themeColor="accent5" w:themeTint="BF"/>
        <w:left w:val="single" w:sz="8" w:space="0" w:color="FFEB4D" w:themeColor="accent5" w:themeTint="BF"/>
        <w:bottom w:val="single" w:sz="8" w:space="0" w:color="FFEB4D" w:themeColor="accent5" w:themeTint="BF"/>
        <w:right w:val="single" w:sz="8" w:space="0" w:color="FFEB4D" w:themeColor="accent5" w:themeTint="BF"/>
        <w:insideH w:val="single" w:sz="8" w:space="0" w:color="FFEB4D"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FEB4D" w:themeColor="accent5" w:themeTint="BF"/>
          <w:left w:val="single" w:sz="8" w:space="0" w:color="FFEB4D" w:themeColor="accent5" w:themeTint="BF"/>
          <w:bottom w:val="single" w:sz="8" w:space="0" w:color="FFEB4D" w:themeColor="accent5" w:themeTint="BF"/>
          <w:right w:val="single" w:sz="8" w:space="0" w:color="FFEB4D" w:themeColor="accent5" w:themeTint="BF"/>
          <w:insideH w:val="nil"/>
          <w:insideV w:val="nil"/>
        </w:tcBorders>
        <w:shd w:val="clear" w:color="auto" w:fill="FFE512" w:themeFill="accent5"/>
      </w:tcPr>
    </w:tblStylePr>
    <w:tblStylePr w:type="lastRow">
      <w:pPr>
        <w:spacing w:before="0" w:after="0" w:line="240" w:lineRule="auto"/>
      </w:pPr>
      <w:rPr>
        <w:b/>
        <w:bCs/>
      </w:rPr>
      <w:tblPr/>
      <w:tcPr>
        <w:tcBorders>
          <w:top w:val="double" w:sz="6" w:space="0" w:color="FFEB4D" w:themeColor="accent5" w:themeTint="BF"/>
          <w:left w:val="single" w:sz="8" w:space="0" w:color="FFEB4D" w:themeColor="accent5" w:themeTint="BF"/>
          <w:bottom w:val="single" w:sz="8" w:space="0" w:color="FFEB4D" w:themeColor="accent5" w:themeTint="BF"/>
          <w:right w:val="single" w:sz="8" w:space="0" w:color="FFEB4D"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F8C4" w:themeFill="accent5" w:themeFillTint="3F"/>
      </w:tcPr>
    </w:tblStylePr>
    <w:tblStylePr w:type="band1Horz">
      <w:tblPr/>
      <w:tcPr>
        <w:tcBorders>
          <w:insideH w:val="nil"/>
          <w:insideV w:val="nil"/>
        </w:tcBorders>
        <w:shd w:val="clear" w:color="auto" w:fill="FFF8C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9E6ED7"/>
    <w:tblPr>
      <w:tblStyleRowBandSize w:val="1"/>
      <w:tblStyleColBandSize w:val="1"/>
      <w:tblInd w:w="0" w:type="dxa"/>
      <w:tblBorders>
        <w:top w:val="single" w:sz="8" w:space="0" w:color="A8A19A" w:themeColor="accent6" w:themeTint="BF"/>
        <w:left w:val="single" w:sz="8" w:space="0" w:color="A8A19A" w:themeColor="accent6" w:themeTint="BF"/>
        <w:bottom w:val="single" w:sz="8" w:space="0" w:color="A8A19A" w:themeColor="accent6" w:themeTint="BF"/>
        <w:right w:val="single" w:sz="8" w:space="0" w:color="A8A19A" w:themeColor="accent6" w:themeTint="BF"/>
        <w:insideH w:val="single" w:sz="8" w:space="0" w:color="A8A19A"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A8A19A" w:themeColor="accent6" w:themeTint="BF"/>
          <w:left w:val="single" w:sz="8" w:space="0" w:color="A8A19A" w:themeColor="accent6" w:themeTint="BF"/>
          <w:bottom w:val="single" w:sz="8" w:space="0" w:color="A8A19A" w:themeColor="accent6" w:themeTint="BF"/>
          <w:right w:val="single" w:sz="8" w:space="0" w:color="A8A19A" w:themeColor="accent6" w:themeTint="BF"/>
          <w:insideH w:val="nil"/>
          <w:insideV w:val="nil"/>
        </w:tcBorders>
        <w:shd w:val="clear" w:color="auto" w:fill="8C8279" w:themeFill="accent6"/>
      </w:tcPr>
    </w:tblStylePr>
    <w:tblStylePr w:type="lastRow">
      <w:pPr>
        <w:spacing w:before="0" w:after="0" w:line="240" w:lineRule="auto"/>
      </w:pPr>
      <w:rPr>
        <w:b/>
        <w:bCs/>
      </w:rPr>
      <w:tblPr/>
      <w:tcPr>
        <w:tcBorders>
          <w:top w:val="double" w:sz="6" w:space="0" w:color="A8A19A" w:themeColor="accent6" w:themeTint="BF"/>
          <w:left w:val="single" w:sz="8" w:space="0" w:color="A8A19A" w:themeColor="accent6" w:themeTint="BF"/>
          <w:bottom w:val="single" w:sz="8" w:space="0" w:color="A8A19A" w:themeColor="accent6" w:themeTint="BF"/>
          <w:right w:val="single" w:sz="8" w:space="0" w:color="A8A19A" w:themeColor="accent6" w:themeTint="BF"/>
          <w:insideH w:val="nil"/>
          <w:insideV w:val="nil"/>
        </w:tcBorders>
      </w:tcPr>
    </w:tblStylePr>
    <w:tblStylePr w:type="firstCol">
      <w:rPr>
        <w:b/>
        <w:bCs/>
      </w:rPr>
    </w:tblStylePr>
    <w:tblStylePr w:type="lastCol">
      <w:rPr>
        <w:b/>
        <w:bCs/>
      </w:rPr>
    </w:tblStylePr>
    <w:tblStylePr w:type="band1Vert">
      <w:tblPr/>
      <w:tcPr>
        <w:shd w:val="clear" w:color="auto" w:fill="E2E0DD" w:themeFill="accent6" w:themeFillTint="3F"/>
      </w:tcPr>
    </w:tblStylePr>
    <w:tblStylePr w:type="band1Horz">
      <w:tblPr/>
      <w:tcPr>
        <w:tcBorders>
          <w:insideH w:val="nil"/>
          <w:insideV w:val="nil"/>
        </w:tcBorders>
        <w:shd w:val="clear" w:color="auto" w:fill="E2E0DD"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9E6ED7"/>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9E6ED7"/>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5E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5E2" w:themeFill="accent1"/>
      </w:tcPr>
    </w:tblStylePr>
    <w:tblStylePr w:type="lastCol">
      <w:rPr>
        <w:b/>
        <w:bCs/>
        <w:color w:val="FFFFFF" w:themeColor="background1"/>
      </w:rPr>
      <w:tblPr/>
      <w:tcPr>
        <w:tcBorders>
          <w:left w:val="nil"/>
          <w:right w:val="nil"/>
          <w:insideH w:val="nil"/>
          <w:insideV w:val="nil"/>
        </w:tcBorders>
        <w:shd w:val="clear" w:color="auto" w:fill="00B5E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9E6ED7"/>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4BD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4BD00" w:themeFill="accent2"/>
      </w:tcPr>
    </w:tblStylePr>
    <w:tblStylePr w:type="lastCol">
      <w:rPr>
        <w:b/>
        <w:bCs/>
        <w:color w:val="FFFFFF" w:themeColor="background1"/>
      </w:rPr>
      <w:tblPr/>
      <w:tcPr>
        <w:tcBorders>
          <w:left w:val="nil"/>
          <w:right w:val="nil"/>
          <w:insideH w:val="nil"/>
          <w:insideV w:val="nil"/>
        </w:tcBorders>
        <w:shd w:val="clear" w:color="auto" w:fill="84BD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9E6ED7"/>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68B1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68B1F" w:themeFill="accent3"/>
      </w:tcPr>
    </w:tblStylePr>
    <w:tblStylePr w:type="lastCol">
      <w:rPr>
        <w:b/>
        <w:bCs/>
        <w:color w:val="FFFFFF" w:themeColor="background1"/>
      </w:rPr>
      <w:tblPr/>
      <w:tcPr>
        <w:tcBorders>
          <w:left w:val="nil"/>
          <w:right w:val="nil"/>
          <w:insideH w:val="nil"/>
          <w:insideV w:val="nil"/>
        </w:tcBorders>
        <w:shd w:val="clear" w:color="auto" w:fill="F68B1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9E6ED7"/>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E007E"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E007E" w:themeFill="accent4"/>
      </w:tcPr>
    </w:tblStylePr>
    <w:tblStylePr w:type="lastCol">
      <w:rPr>
        <w:b/>
        <w:bCs/>
        <w:color w:val="FFFFFF" w:themeColor="background1"/>
      </w:rPr>
      <w:tblPr/>
      <w:tcPr>
        <w:tcBorders>
          <w:left w:val="nil"/>
          <w:right w:val="nil"/>
          <w:insideH w:val="nil"/>
          <w:insideV w:val="nil"/>
        </w:tcBorders>
        <w:shd w:val="clear" w:color="auto" w:fill="9E007E"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9E6ED7"/>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E512"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E512" w:themeFill="accent5"/>
      </w:tcPr>
    </w:tblStylePr>
    <w:tblStylePr w:type="lastCol">
      <w:rPr>
        <w:b/>
        <w:bCs/>
        <w:color w:val="FFFFFF" w:themeColor="background1"/>
      </w:rPr>
      <w:tblPr/>
      <w:tcPr>
        <w:tcBorders>
          <w:left w:val="nil"/>
          <w:right w:val="nil"/>
          <w:insideH w:val="nil"/>
          <w:insideV w:val="nil"/>
        </w:tcBorders>
        <w:shd w:val="clear" w:color="auto" w:fill="FFE512"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9E6ED7"/>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C8279"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C8279" w:themeFill="accent6"/>
      </w:tcPr>
    </w:tblStylePr>
    <w:tblStylePr w:type="lastCol">
      <w:rPr>
        <w:b/>
        <w:bCs/>
        <w:color w:val="FFFFFF" w:themeColor="background1"/>
      </w:rPr>
      <w:tblPr/>
      <w:tcPr>
        <w:tcBorders>
          <w:left w:val="nil"/>
          <w:right w:val="nil"/>
          <w:insideH w:val="nil"/>
          <w:insideV w:val="nil"/>
        </w:tcBorders>
        <w:shd w:val="clear" w:color="auto" w:fill="8C8279"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E6ED7"/>
    <w:pPr>
      <w:spacing w:line="240" w:lineRule="atLeas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E6ED7"/>
    <w:pPr>
      <w:spacing w:line="240" w:lineRule="atLeas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E6ED7"/>
    <w:pPr>
      <w:spacing w:line="240" w:lineRule="atLeas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E6ED7"/>
    <w:pPr>
      <w:spacing w:line="24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E6ED7"/>
    <w:pPr>
      <w:spacing w:line="24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E6ED7"/>
    <w:pPr>
      <w:spacing w:line="240" w:lineRule="atLeas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E6ED7"/>
    <w:pPr>
      <w:spacing w:line="240" w:lineRule="atLeas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E6ED7"/>
    <w:pPr>
      <w:spacing w:line="240" w:lineRule="atLeas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E6ED7"/>
    <w:pPr>
      <w:spacing w:line="240" w:lineRule="atLeas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E6ED7"/>
    <w:pPr>
      <w:spacing w:line="240" w:lineRule="atLeas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E6ED7"/>
    <w:pPr>
      <w:spacing w:line="240" w:lineRule="atLeas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E6ED7"/>
    <w:pPr>
      <w:spacing w:line="240" w:lineRule="atLeas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E6ED7"/>
    <w:pPr>
      <w:spacing w:line="240" w:lineRule="atLeas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E6ED7"/>
    <w:pPr>
      <w:spacing w:line="240" w:lineRule="atLeas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E6ED7"/>
    <w:pPr>
      <w:spacing w:line="240" w:lineRule="atLeas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E6ED7"/>
    <w:pPr>
      <w:spacing w:line="240" w:lineRule="atLeas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E6ED7"/>
    <w:pPr>
      <w:spacing w:line="240" w:lineRule="atLeas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E6ED7"/>
    <w:pPr>
      <w:spacing w:line="24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E6ED7"/>
    <w:pPr>
      <w:spacing w:line="240" w:lineRule="atLeas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E6ED7"/>
    <w:pPr>
      <w:spacing w:line="240" w:lineRule="atLeas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E6ED7"/>
    <w:pPr>
      <w:spacing w:line="240" w:lineRule="atLeas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E6ED7"/>
    <w:pPr>
      <w:spacing w:line="24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E6ED7"/>
    <w:pPr>
      <w:spacing w:line="240" w:lineRule="atLeas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E6ED7"/>
    <w:pPr>
      <w:spacing w:line="240" w:lineRule="atLeas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E6ED7"/>
    <w:pPr>
      <w:spacing w:line="240" w:lineRule="atLeas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E6ED7"/>
    <w:pPr>
      <w:spacing w:line="240" w:lineRule="atLeas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E6ED7"/>
    <w:pPr>
      <w:spacing w:line="240" w:lineRule="atLeas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E6ED7"/>
    <w:pPr>
      <w:spacing w:line="240" w:lineRule="atLeas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E6ED7"/>
    <w:pPr>
      <w:spacing w:line="24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E6ED7"/>
    <w:pPr>
      <w:spacing w:line="24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E6ED7"/>
    <w:pPr>
      <w:spacing w:line="240" w:lineRule="atLeas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E6ED7"/>
    <w:pPr>
      <w:spacing w:line="240" w:lineRule="atLeas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E6ED7"/>
    <w:pPr>
      <w:spacing w:line="240" w:lineRule="atLeas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E6ED7"/>
    <w:pPr>
      <w:spacing w:line="24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E6ED7"/>
    <w:pPr>
      <w:spacing w:line="240" w:lineRule="atLeas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E6ED7"/>
    <w:pPr>
      <w:spacing w:line="240" w:lineRule="atLeas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E6ED7"/>
    <w:pPr>
      <w:spacing w:line="240" w:lineRule="atLeas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E6ED7"/>
    <w:pPr>
      <w:spacing w:line="240" w:lineRule="atLeas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E6ED7"/>
    <w:pPr>
      <w:spacing w:line="240" w:lineRule="atLeas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E6ED7"/>
    <w:pPr>
      <w:spacing w:line="24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uiPriority w:val="99"/>
    <w:semiHidden/>
    <w:unhideWhenUsed/>
    <w:rsid w:val="009E6ED7"/>
    <w:pPr>
      <w:spacing w:line="240" w:lineRule="atLeas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E6ED7"/>
    <w:pPr>
      <w:spacing w:line="240" w:lineRule="atLeas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E6ED7"/>
    <w:pPr>
      <w:spacing w:line="240" w:lineRule="atLeas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Header">
    <w:name w:val="header"/>
    <w:basedOn w:val="Normal"/>
    <w:link w:val="HeaderChar"/>
    <w:uiPriority w:val="99"/>
    <w:unhideWhenUsed/>
    <w:rsid w:val="007F6341"/>
    <w:pPr>
      <w:tabs>
        <w:tab w:val="center" w:pos="4513"/>
        <w:tab w:val="right" w:pos="9026"/>
      </w:tabs>
      <w:spacing w:line="240" w:lineRule="auto"/>
    </w:pPr>
    <w:rPr>
      <w:noProof/>
      <w:sz w:val="14"/>
    </w:rPr>
  </w:style>
  <w:style w:type="character" w:customStyle="1" w:styleId="HeaderChar">
    <w:name w:val="Header Char"/>
    <w:basedOn w:val="DefaultParagraphFont"/>
    <w:link w:val="Header"/>
    <w:uiPriority w:val="99"/>
    <w:rsid w:val="00F66A91"/>
    <w:rPr>
      <w:noProof/>
      <w:kern w:val="18"/>
      <w:sz w:val="14"/>
    </w:rPr>
  </w:style>
  <w:style w:type="paragraph" w:styleId="Footer">
    <w:name w:val="footer"/>
    <w:basedOn w:val="Normal"/>
    <w:link w:val="FooterChar"/>
    <w:uiPriority w:val="99"/>
    <w:unhideWhenUsed/>
    <w:rsid w:val="007F6341"/>
    <w:pPr>
      <w:tabs>
        <w:tab w:val="center" w:pos="4513"/>
        <w:tab w:val="right" w:pos="9026"/>
      </w:tabs>
      <w:spacing w:line="240" w:lineRule="auto"/>
    </w:pPr>
    <w:rPr>
      <w:noProof/>
      <w:sz w:val="14"/>
    </w:rPr>
  </w:style>
  <w:style w:type="character" w:customStyle="1" w:styleId="FooterChar">
    <w:name w:val="Footer Char"/>
    <w:basedOn w:val="DefaultParagraphFont"/>
    <w:link w:val="Footer"/>
    <w:uiPriority w:val="99"/>
    <w:rsid w:val="00F66A91"/>
    <w:rPr>
      <w:noProof/>
      <w:kern w:val="18"/>
      <w:sz w:val="14"/>
    </w:rPr>
  </w:style>
  <w:style w:type="numbering" w:customStyle="1" w:styleId="AECOMNumbering">
    <w:name w:val="AECOM Numbering"/>
    <w:basedOn w:val="NoList"/>
    <w:uiPriority w:val="99"/>
    <w:semiHidden/>
    <w:unhideWhenUsed/>
    <w:rsid w:val="00FF093C"/>
    <w:pPr>
      <w:numPr>
        <w:numId w:val="7"/>
      </w:numPr>
    </w:pPr>
  </w:style>
  <w:style w:type="numbering" w:customStyle="1" w:styleId="AECOMAppendix">
    <w:name w:val="AECOM Appendix"/>
    <w:uiPriority w:val="99"/>
    <w:semiHidden/>
    <w:unhideWhenUsed/>
    <w:rsid w:val="006A3705"/>
    <w:pPr>
      <w:numPr>
        <w:numId w:val="8"/>
      </w:numPr>
    </w:pPr>
  </w:style>
  <w:style w:type="character" w:customStyle="1" w:styleId="Heading6Char">
    <w:name w:val="Heading 6 Char"/>
    <w:basedOn w:val="DefaultParagraphFont"/>
    <w:link w:val="Heading6"/>
    <w:uiPriority w:val="9"/>
    <w:rsid w:val="00F66A91"/>
    <w:rPr>
      <w:rFonts w:asciiTheme="majorHAnsi" w:eastAsiaTheme="majorEastAsia" w:hAnsiTheme="majorHAnsi" w:cstheme="majorBidi"/>
      <w:i/>
      <w:iCs/>
      <w:color w:val="005970" w:themeColor="accent1" w:themeShade="7F"/>
      <w:sz w:val="16"/>
      <w:szCs w:val="22"/>
      <w:lang w:eastAsia="en-GB"/>
    </w:rPr>
  </w:style>
  <w:style w:type="character" w:customStyle="1" w:styleId="Heading7Char">
    <w:name w:val="Heading 7 Char"/>
    <w:basedOn w:val="DefaultParagraphFont"/>
    <w:link w:val="Heading7"/>
    <w:uiPriority w:val="9"/>
    <w:rsid w:val="00F66A91"/>
    <w:rPr>
      <w:rFonts w:asciiTheme="majorHAnsi" w:eastAsiaTheme="majorEastAsia" w:hAnsiTheme="majorHAnsi" w:cstheme="majorBidi"/>
      <w:i/>
      <w:iCs/>
      <w:color w:val="404040" w:themeColor="text1" w:themeTint="BF"/>
      <w:sz w:val="16"/>
      <w:szCs w:val="22"/>
      <w:lang w:eastAsia="en-GB"/>
    </w:rPr>
  </w:style>
  <w:style w:type="character" w:customStyle="1" w:styleId="Heading8Char">
    <w:name w:val="Heading 8 Char"/>
    <w:basedOn w:val="DefaultParagraphFont"/>
    <w:link w:val="Heading8"/>
    <w:uiPriority w:val="9"/>
    <w:rsid w:val="00F66A91"/>
    <w:rPr>
      <w:rFonts w:asciiTheme="majorHAnsi" w:eastAsiaTheme="majorEastAsia" w:hAnsiTheme="majorHAnsi" w:cstheme="majorBidi"/>
      <w:color w:val="404040" w:themeColor="text1" w:themeTint="BF"/>
      <w:sz w:val="20"/>
      <w:szCs w:val="20"/>
      <w:lang w:eastAsia="en-GB"/>
    </w:rPr>
  </w:style>
  <w:style w:type="character" w:customStyle="1" w:styleId="Heading9Char">
    <w:name w:val="Heading 9 Char"/>
    <w:basedOn w:val="DefaultParagraphFont"/>
    <w:link w:val="Heading9"/>
    <w:uiPriority w:val="9"/>
    <w:rsid w:val="00F66A91"/>
    <w:rPr>
      <w:rFonts w:asciiTheme="majorHAnsi" w:eastAsiaTheme="majorEastAsia" w:hAnsiTheme="majorHAnsi" w:cstheme="majorBidi"/>
      <w:i/>
      <w:iCs/>
      <w:color w:val="404040" w:themeColor="text1" w:themeTint="BF"/>
      <w:sz w:val="20"/>
      <w:szCs w:val="20"/>
      <w:lang w:eastAsia="en-GB"/>
    </w:rPr>
  </w:style>
  <w:style w:type="table" w:customStyle="1" w:styleId="Plaingrid">
    <w:name w:val="Plain grid"/>
    <w:basedOn w:val="TableNormal"/>
    <w:uiPriority w:val="99"/>
    <w:semiHidden/>
    <w:unhideWhenUsed/>
    <w:rsid w:val="00E772F5"/>
    <w:tblPr>
      <w:tblInd w:w="0" w:type="dxa"/>
      <w:tblCellMar>
        <w:top w:w="0" w:type="dxa"/>
        <w:left w:w="0" w:type="dxa"/>
        <w:bottom w:w="0" w:type="dxa"/>
        <w:right w:w="108" w:type="dxa"/>
      </w:tblCellMar>
    </w:tblPr>
  </w:style>
  <w:style w:type="paragraph" w:styleId="Title">
    <w:name w:val="Title"/>
    <w:basedOn w:val="Normal"/>
    <w:next w:val="Normal"/>
    <w:link w:val="TitleChar"/>
    <w:uiPriority w:val="10"/>
    <w:unhideWhenUsed/>
    <w:rsid w:val="00AA75D4"/>
    <w:pPr>
      <w:spacing w:after="300" w:line="240" w:lineRule="auto"/>
      <w:contextualSpacing/>
    </w:pPr>
    <w:rPr>
      <w:rFonts w:asciiTheme="majorHAnsi" w:eastAsiaTheme="majorEastAsia" w:hAnsiTheme="majorHAnsi" w:cstheme="majorBidi"/>
      <w:color w:val="FFFFFF" w:themeColor="background1"/>
      <w:kern w:val="28"/>
      <w:sz w:val="48"/>
      <w:szCs w:val="52"/>
    </w:rPr>
  </w:style>
  <w:style w:type="character" w:customStyle="1" w:styleId="TitleChar">
    <w:name w:val="Title Char"/>
    <w:basedOn w:val="DefaultParagraphFont"/>
    <w:link w:val="Title"/>
    <w:uiPriority w:val="10"/>
    <w:rsid w:val="00F66A91"/>
    <w:rPr>
      <w:rFonts w:asciiTheme="majorHAnsi" w:eastAsiaTheme="majorEastAsia" w:hAnsiTheme="majorHAnsi" w:cstheme="majorBidi"/>
      <w:color w:val="FFFFFF" w:themeColor="background1"/>
      <w:kern w:val="28"/>
      <w:sz w:val="48"/>
      <w:szCs w:val="52"/>
    </w:rPr>
  </w:style>
  <w:style w:type="paragraph" w:styleId="TOCHeading">
    <w:name w:val="TOC Heading"/>
    <w:basedOn w:val="Heading1"/>
    <w:next w:val="Normal"/>
    <w:uiPriority w:val="39"/>
    <w:unhideWhenUsed/>
    <w:rsid w:val="000D13AF"/>
    <w:pPr>
      <w:numPr>
        <w:numId w:val="0"/>
      </w:numPr>
      <w:spacing w:line="240" w:lineRule="atLeast"/>
      <w:outlineLvl w:val="9"/>
    </w:pPr>
    <w:rPr>
      <w:sz w:val="28"/>
    </w:rPr>
  </w:style>
  <w:style w:type="paragraph" w:styleId="Subtitle">
    <w:name w:val="Subtitle"/>
    <w:basedOn w:val="Normal"/>
    <w:next w:val="Normal"/>
    <w:link w:val="SubtitleChar"/>
    <w:uiPriority w:val="11"/>
    <w:unhideWhenUsed/>
    <w:rsid w:val="00AA75D4"/>
    <w:pPr>
      <w:numPr>
        <w:ilvl w:val="1"/>
      </w:numPr>
    </w:pPr>
    <w:rPr>
      <w:rFonts w:asciiTheme="majorHAnsi" w:eastAsiaTheme="majorEastAsia" w:hAnsiTheme="majorHAnsi" w:cstheme="majorBidi"/>
      <w:iCs/>
      <w:color w:val="FFFFFF" w:themeColor="background1"/>
      <w:sz w:val="24"/>
      <w:szCs w:val="24"/>
    </w:rPr>
  </w:style>
  <w:style w:type="character" w:customStyle="1" w:styleId="SubtitleChar">
    <w:name w:val="Subtitle Char"/>
    <w:basedOn w:val="DefaultParagraphFont"/>
    <w:link w:val="Subtitle"/>
    <w:uiPriority w:val="11"/>
    <w:rsid w:val="00F66A91"/>
    <w:rPr>
      <w:rFonts w:asciiTheme="majorHAnsi" w:eastAsiaTheme="majorEastAsia" w:hAnsiTheme="majorHAnsi" w:cstheme="majorBidi"/>
      <w:iCs/>
      <w:color w:val="FFFFFF" w:themeColor="background1"/>
      <w:kern w:val="18"/>
      <w:sz w:val="24"/>
      <w:szCs w:val="24"/>
    </w:rPr>
  </w:style>
  <w:style w:type="paragraph" w:styleId="TOC1">
    <w:name w:val="toc 1"/>
    <w:basedOn w:val="Normal"/>
    <w:next w:val="Normal"/>
    <w:autoRedefine/>
    <w:uiPriority w:val="39"/>
    <w:unhideWhenUsed/>
    <w:rsid w:val="003964F2"/>
    <w:pPr>
      <w:tabs>
        <w:tab w:val="right" w:leader="dot" w:pos="9026"/>
      </w:tabs>
      <w:spacing w:after="40"/>
      <w:ind w:left="567" w:right="522" w:hanging="567"/>
    </w:pPr>
    <w:rPr>
      <w:rFonts w:asciiTheme="majorHAnsi" w:hAnsiTheme="majorHAnsi"/>
    </w:rPr>
  </w:style>
  <w:style w:type="paragraph" w:styleId="TOC2">
    <w:name w:val="toc 2"/>
    <w:basedOn w:val="Normal"/>
    <w:next w:val="Normal"/>
    <w:autoRedefine/>
    <w:uiPriority w:val="39"/>
    <w:unhideWhenUsed/>
    <w:rsid w:val="003964F2"/>
    <w:pPr>
      <w:tabs>
        <w:tab w:val="right" w:leader="dot" w:pos="9026"/>
      </w:tabs>
      <w:spacing w:after="40"/>
      <w:ind w:left="1134" w:right="522" w:hanging="567"/>
    </w:pPr>
  </w:style>
  <w:style w:type="paragraph" w:styleId="TOC3">
    <w:name w:val="toc 3"/>
    <w:basedOn w:val="Normal"/>
    <w:next w:val="Normal"/>
    <w:autoRedefine/>
    <w:uiPriority w:val="39"/>
    <w:unhideWhenUsed/>
    <w:rsid w:val="003964F2"/>
    <w:pPr>
      <w:tabs>
        <w:tab w:val="right" w:leader="dot" w:pos="9026"/>
      </w:tabs>
      <w:spacing w:after="40"/>
      <w:ind w:left="1134" w:hanging="567"/>
    </w:pPr>
  </w:style>
  <w:style w:type="paragraph" w:customStyle="1" w:styleId="Coverdata">
    <w:name w:val="Cover data"/>
    <w:basedOn w:val="Subtitle"/>
    <w:uiPriority w:val="1"/>
    <w:semiHidden/>
    <w:unhideWhenUsed/>
    <w:rsid w:val="00DA79BC"/>
    <w:pPr>
      <w:jc w:val="right"/>
    </w:pPr>
    <w:rPr>
      <w:sz w:val="16"/>
    </w:rPr>
  </w:style>
  <w:style w:type="paragraph" w:customStyle="1" w:styleId="Coverfooter">
    <w:name w:val="Cover footer"/>
    <w:basedOn w:val="Coverdata"/>
    <w:uiPriority w:val="1"/>
    <w:unhideWhenUsed/>
    <w:rsid w:val="00B97816"/>
    <w:pPr>
      <w:spacing w:line="200" w:lineRule="atLeast"/>
      <w:jc w:val="left"/>
    </w:pPr>
    <w:rPr>
      <w:rFonts w:asciiTheme="minorHAnsi" w:hAnsiTheme="minorHAnsi"/>
    </w:rPr>
  </w:style>
  <w:style w:type="paragraph" w:customStyle="1" w:styleId="Subtitleheading">
    <w:name w:val="Subtitle heading"/>
    <w:basedOn w:val="Subtitle"/>
    <w:uiPriority w:val="1"/>
    <w:unhideWhenUsed/>
    <w:rsid w:val="00AA75D4"/>
  </w:style>
  <w:style w:type="character" w:styleId="Strong">
    <w:name w:val="Strong"/>
    <w:basedOn w:val="DefaultParagraphFont"/>
    <w:uiPriority w:val="22"/>
    <w:unhideWhenUsed/>
    <w:rsid w:val="00542F08"/>
    <w:rPr>
      <w:b/>
      <w:bCs/>
    </w:rPr>
  </w:style>
  <w:style w:type="paragraph" w:styleId="CommentText">
    <w:name w:val="annotation text"/>
    <w:basedOn w:val="Normal"/>
    <w:link w:val="CommentTextChar"/>
    <w:uiPriority w:val="99"/>
    <w:unhideWhenUsed/>
    <w:rsid w:val="00542F08"/>
    <w:pPr>
      <w:spacing w:line="240" w:lineRule="auto"/>
    </w:pPr>
    <w:rPr>
      <w:sz w:val="20"/>
      <w:szCs w:val="20"/>
    </w:rPr>
  </w:style>
  <w:style w:type="character" w:customStyle="1" w:styleId="CommentTextChar">
    <w:name w:val="Comment Text Char"/>
    <w:basedOn w:val="DefaultParagraphFont"/>
    <w:link w:val="CommentText"/>
    <w:uiPriority w:val="99"/>
    <w:rsid w:val="00F66A91"/>
    <w:rPr>
      <w:kern w:val="18"/>
      <w:sz w:val="20"/>
      <w:szCs w:val="20"/>
    </w:rPr>
  </w:style>
  <w:style w:type="paragraph" w:styleId="CommentSubject">
    <w:name w:val="annotation subject"/>
    <w:basedOn w:val="CommentText"/>
    <w:next w:val="CommentText"/>
    <w:link w:val="CommentSubjectChar"/>
    <w:uiPriority w:val="99"/>
    <w:semiHidden/>
    <w:unhideWhenUsed/>
    <w:rsid w:val="00542F08"/>
    <w:rPr>
      <w:b/>
      <w:bCs/>
    </w:rPr>
  </w:style>
  <w:style w:type="character" w:customStyle="1" w:styleId="CommentSubjectChar">
    <w:name w:val="Comment Subject Char"/>
    <w:basedOn w:val="CommentTextChar"/>
    <w:link w:val="CommentSubject"/>
    <w:uiPriority w:val="99"/>
    <w:semiHidden/>
    <w:rsid w:val="00F66A91"/>
    <w:rPr>
      <w:b/>
      <w:bCs/>
      <w:kern w:val="18"/>
      <w:sz w:val="20"/>
      <w:szCs w:val="20"/>
    </w:rPr>
  </w:style>
  <w:style w:type="paragraph" w:customStyle="1" w:styleId="Heading">
    <w:name w:val="Heading"/>
    <w:basedOn w:val="BodyText"/>
    <w:next w:val="BodyText"/>
    <w:uiPriority w:val="1"/>
    <w:unhideWhenUsed/>
    <w:rsid w:val="008952D6"/>
    <w:pPr>
      <w:spacing w:after="120"/>
    </w:pPr>
    <w:rPr>
      <w:rFonts w:asciiTheme="majorHAnsi" w:hAnsiTheme="majorHAnsi" w:cstheme="majorHAnsi"/>
      <w:color w:val="000000" w:themeColor="text2"/>
      <w:sz w:val="24"/>
    </w:rPr>
  </w:style>
  <w:style w:type="paragraph" w:styleId="TableofFigures">
    <w:name w:val="table of figures"/>
    <w:basedOn w:val="Normal"/>
    <w:next w:val="Normal"/>
    <w:uiPriority w:val="99"/>
    <w:unhideWhenUsed/>
    <w:rsid w:val="00A34EE8"/>
    <w:pPr>
      <w:tabs>
        <w:tab w:val="right" w:leader="dot" w:pos="9026"/>
      </w:tabs>
    </w:pPr>
  </w:style>
  <w:style w:type="numbering" w:customStyle="1" w:styleId="AECOMSectionnumbering">
    <w:name w:val="AECOM Section numbering"/>
    <w:uiPriority w:val="99"/>
    <w:semiHidden/>
    <w:unhideWhenUsed/>
    <w:rsid w:val="0055609F"/>
    <w:pPr>
      <w:numPr>
        <w:numId w:val="10"/>
      </w:numPr>
    </w:pPr>
  </w:style>
  <w:style w:type="paragraph" w:styleId="BalloonText">
    <w:name w:val="Balloon Text"/>
    <w:basedOn w:val="Normal"/>
    <w:link w:val="BalloonTextChar"/>
    <w:uiPriority w:val="99"/>
    <w:semiHidden/>
    <w:unhideWhenUsed/>
    <w:rsid w:val="00F97FCB"/>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F66A91"/>
    <w:rPr>
      <w:rFonts w:ascii="Tahoma" w:hAnsi="Tahoma" w:cs="Tahoma"/>
      <w:kern w:val="18"/>
      <w:sz w:val="16"/>
      <w:szCs w:val="16"/>
    </w:rPr>
  </w:style>
  <w:style w:type="paragraph" w:styleId="Quote">
    <w:name w:val="Quote"/>
    <w:basedOn w:val="Normal"/>
    <w:next w:val="Normal"/>
    <w:link w:val="QuoteChar"/>
    <w:uiPriority w:val="21"/>
    <w:qFormat/>
    <w:rsid w:val="00854622"/>
    <w:pPr>
      <w:spacing w:after="120"/>
      <w:ind w:left="851" w:right="567"/>
    </w:pPr>
    <w:rPr>
      <w:i/>
      <w:iCs/>
      <w:color w:val="000000" w:themeColor="text1"/>
    </w:rPr>
  </w:style>
  <w:style w:type="character" w:customStyle="1" w:styleId="QuoteChar">
    <w:name w:val="Quote Char"/>
    <w:basedOn w:val="DefaultParagraphFont"/>
    <w:link w:val="Quote"/>
    <w:uiPriority w:val="21"/>
    <w:rsid w:val="00F66A91"/>
    <w:rPr>
      <w:i/>
      <w:iCs/>
      <w:color w:val="000000" w:themeColor="text1"/>
      <w:kern w:val="18"/>
    </w:rPr>
  </w:style>
  <w:style w:type="numbering" w:styleId="111111">
    <w:name w:val="Outline List 2"/>
    <w:basedOn w:val="NoList"/>
    <w:uiPriority w:val="99"/>
    <w:semiHidden/>
    <w:unhideWhenUsed/>
    <w:rsid w:val="004C255D"/>
    <w:pPr>
      <w:numPr>
        <w:numId w:val="11"/>
      </w:numPr>
    </w:pPr>
  </w:style>
  <w:style w:type="numbering" w:styleId="1ai">
    <w:name w:val="Outline List 1"/>
    <w:basedOn w:val="NoList"/>
    <w:uiPriority w:val="99"/>
    <w:semiHidden/>
    <w:unhideWhenUsed/>
    <w:rsid w:val="004C255D"/>
    <w:pPr>
      <w:numPr>
        <w:numId w:val="12"/>
      </w:numPr>
    </w:pPr>
  </w:style>
  <w:style w:type="numbering" w:styleId="ArticleSection">
    <w:name w:val="Outline List 3"/>
    <w:basedOn w:val="NoList"/>
    <w:uiPriority w:val="99"/>
    <w:semiHidden/>
    <w:unhideWhenUsed/>
    <w:rsid w:val="004C255D"/>
    <w:pPr>
      <w:numPr>
        <w:numId w:val="13"/>
      </w:numPr>
    </w:pPr>
  </w:style>
  <w:style w:type="paragraph" w:styleId="Bibliography">
    <w:name w:val="Bibliography"/>
    <w:basedOn w:val="Normal"/>
    <w:next w:val="Normal"/>
    <w:uiPriority w:val="37"/>
    <w:semiHidden/>
    <w:unhideWhenUsed/>
    <w:rsid w:val="004C255D"/>
  </w:style>
  <w:style w:type="paragraph" w:styleId="BlockText">
    <w:name w:val="Block Text"/>
    <w:basedOn w:val="Normal"/>
    <w:uiPriority w:val="99"/>
    <w:semiHidden/>
    <w:unhideWhenUsed/>
    <w:rsid w:val="004C255D"/>
    <w:pPr>
      <w:pBdr>
        <w:top w:val="single" w:sz="2" w:space="10" w:color="00B5E2" w:themeColor="accent1" w:shadow="1" w:frame="1"/>
        <w:left w:val="single" w:sz="2" w:space="10" w:color="00B5E2" w:themeColor="accent1" w:shadow="1" w:frame="1"/>
        <w:bottom w:val="single" w:sz="2" w:space="10" w:color="00B5E2" w:themeColor="accent1" w:shadow="1" w:frame="1"/>
        <w:right w:val="single" w:sz="2" w:space="10" w:color="00B5E2" w:themeColor="accent1" w:shadow="1" w:frame="1"/>
      </w:pBdr>
      <w:ind w:left="1152" w:right="1152"/>
    </w:pPr>
    <w:rPr>
      <w:rFonts w:eastAsiaTheme="minorEastAsia"/>
      <w:i/>
      <w:iCs/>
      <w:color w:val="00B5E2" w:themeColor="accent1"/>
    </w:rPr>
  </w:style>
  <w:style w:type="paragraph" w:styleId="BodyText2">
    <w:name w:val="Body Text 2"/>
    <w:basedOn w:val="Normal"/>
    <w:link w:val="BodyText2Char"/>
    <w:uiPriority w:val="99"/>
    <w:semiHidden/>
    <w:unhideWhenUsed/>
    <w:rsid w:val="004C255D"/>
    <w:pPr>
      <w:spacing w:after="120" w:line="480" w:lineRule="auto"/>
    </w:pPr>
  </w:style>
  <w:style w:type="character" w:customStyle="1" w:styleId="BodyText2Char">
    <w:name w:val="Body Text 2 Char"/>
    <w:basedOn w:val="DefaultParagraphFont"/>
    <w:link w:val="BodyText2"/>
    <w:uiPriority w:val="99"/>
    <w:semiHidden/>
    <w:rsid w:val="00F66A91"/>
    <w:rPr>
      <w:kern w:val="18"/>
    </w:rPr>
  </w:style>
  <w:style w:type="paragraph" w:styleId="BodyText3">
    <w:name w:val="Body Text 3"/>
    <w:basedOn w:val="Normal"/>
    <w:link w:val="BodyText3Char"/>
    <w:uiPriority w:val="99"/>
    <w:semiHidden/>
    <w:unhideWhenUsed/>
    <w:rsid w:val="004C255D"/>
    <w:pPr>
      <w:spacing w:after="120"/>
    </w:pPr>
    <w:rPr>
      <w:szCs w:val="16"/>
    </w:rPr>
  </w:style>
  <w:style w:type="character" w:customStyle="1" w:styleId="BodyText3Char">
    <w:name w:val="Body Text 3 Char"/>
    <w:basedOn w:val="DefaultParagraphFont"/>
    <w:link w:val="BodyText3"/>
    <w:uiPriority w:val="99"/>
    <w:semiHidden/>
    <w:rsid w:val="00F66A91"/>
    <w:rPr>
      <w:kern w:val="18"/>
      <w:sz w:val="16"/>
      <w:szCs w:val="16"/>
    </w:rPr>
  </w:style>
  <w:style w:type="paragraph" w:styleId="BodyTextFirstIndent">
    <w:name w:val="Body Text First Indent"/>
    <w:basedOn w:val="BodyText"/>
    <w:link w:val="BodyTextFirstIndentChar"/>
    <w:uiPriority w:val="99"/>
    <w:semiHidden/>
    <w:unhideWhenUsed/>
    <w:rsid w:val="004C255D"/>
    <w:pPr>
      <w:spacing w:after="0"/>
      <w:ind w:firstLine="360"/>
    </w:pPr>
  </w:style>
  <w:style w:type="character" w:customStyle="1" w:styleId="BodyTextFirstIndentChar">
    <w:name w:val="Body Text First Indent Char"/>
    <w:basedOn w:val="BodyTextChar"/>
    <w:link w:val="BodyTextFirstIndent"/>
    <w:uiPriority w:val="99"/>
    <w:semiHidden/>
    <w:rsid w:val="00F66A91"/>
    <w:rPr>
      <w:kern w:val="18"/>
    </w:rPr>
  </w:style>
  <w:style w:type="paragraph" w:styleId="BodyTextIndent">
    <w:name w:val="Body Text Indent"/>
    <w:basedOn w:val="Normal"/>
    <w:link w:val="BodyTextIndentChar"/>
    <w:uiPriority w:val="99"/>
    <w:semiHidden/>
    <w:unhideWhenUsed/>
    <w:rsid w:val="004C255D"/>
    <w:pPr>
      <w:spacing w:after="120"/>
      <w:ind w:left="283"/>
    </w:pPr>
  </w:style>
  <w:style w:type="character" w:customStyle="1" w:styleId="BodyTextIndentChar">
    <w:name w:val="Body Text Indent Char"/>
    <w:basedOn w:val="DefaultParagraphFont"/>
    <w:link w:val="BodyTextIndent"/>
    <w:uiPriority w:val="99"/>
    <w:semiHidden/>
    <w:rsid w:val="00F66A91"/>
    <w:rPr>
      <w:kern w:val="18"/>
    </w:rPr>
  </w:style>
  <w:style w:type="paragraph" w:styleId="BodyTextFirstIndent2">
    <w:name w:val="Body Text First Indent 2"/>
    <w:basedOn w:val="BodyTextIndent"/>
    <w:link w:val="BodyTextFirstIndent2Char"/>
    <w:uiPriority w:val="99"/>
    <w:semiHidden/>
    <w:unhideWhenUsed/>
    <w:rsid w:val="004C255D"/>
    <w:pPr>
      <w:spacing w:after="0"/>
      <w:ind w:left="360" w:firstLine="360"/>
    </w:pPr>
  </w:style>
  <w:style w:type="character" w:customStyle="1" w:styleId="BodyTextFirstIndent2Char">
    <w:name w:val="Body Text First Indent 2 Char"/>
    <w:basedOn w:val="BodyTextIndentChar"/>
    <w:link w:val="BodyTextFirstIndent2"/>
    <w:uiPriority w:val="99"/>
    <w:semiHidden/>
    <w:rsid w:val="00F66A91"/>
    <w:rPr>
      <w:kern w:val="18"/>
    </w:rPr>
  </w:style>
  <w:style w:type="paragraph" w:styleId="BodyTextIndent2">
    <w:name w:val="Body Text Indent 2"/>
    <w:basedOn w:val="Normal"/>
    <w:link w:val="BodyTextIndent2Char"/>
    <w:uiPriority w:val="99"/>
    <w:semiHidden/>
    <w:unhideWhenUsed/>
    <w:rsid w:val="004C255D"/>
    <w:pPr>
      <w:spacing w:after="120" w:line="480" w:lineRule="auto"/>
      <w:ind w:left="283"/>
    </w:pPr>
  </w:style>
  <w:style w:type="character" w:customStyle="1" w:styleId="BodyTextIndent2Char">
    <w:name w:val="Body Text Indent 2 Char"/>
    <w:basedOn w:val="DefaultParagraphFont"/>
    <w:link w:val="BodyTextIndent2"/>
    <w:uiPriority w:val="99"/>
    <w:semiHidden/>
    <w:rsid w:val="00F66A91"/>
    <w:rPr>
      <w:kern w:val="18"/>
    </w:rPr>
  </w:style>
  <w:style w:type="paragraph" w:styleId="BodyTextIndent3">
    <w:name w:val="Body Text Indent 3"/>
    <w:basedOn w:val="Normal"/>
    <w:link w:val="BodyTextIndent3Char"/>
    <w:uiPriority w:val="99"/>
    <w:semiHidden/>
    <w:unhideWhenUsed/>
    <w:rsid w:val="004C255D"/>
    <w:pPr>
      <w:spacing w:after="120"/>
      <w:ind w:left="283"/>
    </w:pPr>
    <w:rPr>
      <w:szCs w:val="16"/>
    </w:rPr>
  </w:style>
  <w:style w:type="character" w:customStyle="1" w:styleId="BodyTextIndent3Char">
    <w:name w:val="Body Text Indent 3 Char"/>
    <w:basedOn w:val="DefaultParagraphFont"/>
    <w:link w:val="BodyTextIndent3"/>
    <w:uiPriority w:val="99"/>
    <w:semiHidden/>
    <w:rsid w:val="00F66A91"/>
    <w:rPr>
      <w:kern w:val="18"/>
      <w:sz w:val="16"/>
      <w:szCs w:val="16"/>
    </w:rPr>
  </w:style>
  <w:style w:type="character" w:styleId="BookTitle">
    <w:name w:val="Book Title"/>
    <w:basedOn w:val="DefaultParagraphFont"/>
    <w:uiPriority w:val="33"/>
    <w:unhideWhenUsed/>
    <w:rsid w:val="004C255D"/>
    <w:rPr>
      <w:b/>
      <w:bCs/>
      <w:smallCaps/>
      <w:spacing w:val="5"/>
    </w:rPr>
  </w:style>
  <w:style w:type="paragraph" w:styleId="Closing">
    <w:name w:val="Closing"/>
    <w:basedOn w:val="Normal"/>
    <w:link w:val="ClosingChar"/>
    <w:uiPriority w:val="99"/>
    <w:semiHidden/>
    <w:unhideWhenUsed/>
    <w:rsid w:val="004C255D"/>
    <w:pPr>
      <w:spacing w:line="240" w:lineRule="auto"/>
      <w:ind w:left="4252"/>
    </w:pPr>
  </w:style>
  <w:style w:type="character" w:customStyle="1" w:styleId="ClosingChar">
    <w:name w:val="Closing Char"/>
    <w:basedOn w:val="DefaultParagraphFont"/>
    <w:link w:val="Closing"/>
    <w:uiPriority w:val="99"/>
    <w:semiHidden/>
    <w:rsid w:val="00F66A91"/>
    <w:rPr>
      <w:kern w:val="18"/>
    </w:rPr>
  </w:style>
  <w:style w:type="character" w:styleId="CommentReference">
    <w:name w:val="annotation reference"/>
    <w:basedOn w:val="DefaultParagraphFont"/>
    <w:uiPriority w:val="99"/>
    <w:semiHidden/>
    <w:unhideWhenUsed/>
    <w:rsid w:val="004C255D"/>
    <w:rPr>
      <w:sz w:val="16"/>
      <w:szCs w:val="16"/>
    </w:rPr>
  </w:style>
  <w:style w:type="paragraph" w:styleId="Date">
    <w:name w:val="Date"/>
    <w:basedOn w:val="Normal"/>
    <w:next w:val="Normal"/>
    <w:link w:val="DateChar"/>
    <w:uiPriority w:val="99"/>
    <w:semiHidden/>
    <w:unhideWhenUsed/>
    <w:rsid w:val="004C255D"/>
  </w:style>
  <w:style w:type="character" w:customStyle="1" w:styleId="DateChar">
    <w:name w:val="Date Char"/>
    <w:basedOn w:val="DefaultParagraphFont"/>
    <w:link w:val="Date"/>
    <w:uiPriority w:val="99"/>
    <w:semiHidden/>
    <w:rsid w:val="00F66A91"/>
    <w:rPr>
      <w:kern w:val="18"/>
    </w:rPr>
  </w:style>
  <w:style w:type="paragraph" w:styleId="DocumentMap">
    <w:name w:val="Document Map"/>
    <w:basedOn w:val="Normal"/>
    <w:link w:val="DocumentMapChar"/>
    <w:uiPriority w:val="99"/>
    <w:semiHidden/>
    <w:unhideWhenUsed/>
    <w:rsid w:val="004C255D"/>
    <w:pPr>
      <w:spacing w:line="240" w:lineRule="auto"/>
    </w:pPr>
    <w:rPr>
      <w:rFonts w:ascii="Tahoma" w:hAnsi="Tahoma" w:cs="Tahoma"/>
      <w:szCs w:val="16"/>
    </w:rPr>
  </w:style>
  <w:style w:type="character" w:customStyle="1" w:styleId="DocumentMapChar">
    <w:name w:val="Document Map Char"/>
    <w:basedOn w:val="DefaultParagraphFont"/>
    <w:link w:val="DocumentMap"/>
    <w:uiPriority w:val="99"/>
    <w:semiHidden/>
    <w:rsid w:val="00F66A91"/>
    <w:rPr>
      <w:rFonts w:ascii="Tahoma" w:hAnsi="Tahoma" w:cs="Tahoma"/>
      <w:kern w:val="18"/>
      <w:sz w:val="16"/>
      <w:szCs w:val="16"/>
    </w:rPr>
  </w:style>
  <w:style w:type="paragraph" w:styleId="E-mailSignature">
    <w:name w:val="E-mail Signature"/>
    <w:basedOn w:val="Normal"/>
    <w:link w:val="E-mailSignatureChar"/>
    <w:uiPriority w:val="99"/>
    <w:semiHidden/>
    <w:unhideWhenUsed/>
    <w:rsid w:val="004C255D"/>
    <w:pPr>
      <w:spacing w:line="240" w:lineRule="auto"/>
    </w:pPr>
  </w:style>
  <w:style w:type="character" w:customStyle="1" w:styleId="E-mailSignatureChar">
    <w:name w:val="E-mail Signature Char"/>
    <w:basedOn w:val="DefaultParagraphFont"/>
    <w:link w:val="E-mailSignature"/>
    <w:uiPriority w:val="99"/>
    <w:semiHidden/>
    <w:rsid w:val="00F66A91"/>
    <w:rPr>
      <w:kern w:val="18"/>
    </w:rPr>
  </w:style>
  <w:style w:type="character" w:styleId="Emphasis">
    <w:name w:val="Emphasis"/>
    <w:basedOn w:val="DefaultParagraphFont"/>
    <w:uiPriority w:val="20"/>
    <w:unhideWhenUsed/>
    <w:rsid w:val="004C255D"/>
    <w:rPr>
      <w:i/>
      <w:iCs/>
    </w:rPr>
  </w:style>
  <w:style w:type="character" w:styleId="EndnoteReference">
    <w:name w:val="endnote reference"/>
    <w:basedOn w:val="DefaultParagraphFont"/>
    <w:uiPriority w:val="99"/>
    <w:semiHidden/>
    <w:unhideWhenUsed/>
    <w:rsid w:val="004C255D"/>
    <w:rPr>
      <w:vertAlign w:val="superscript"/>
    </w:rPr>
  </w:style>
  <w:style w:type="paragraph" w:styleId="EndnoteText">
    <w:name w:val="endnote text"/>
    <w:basedOn w:val="Normal"/>
    <w:link w:val="EndnoteTextChar"/>
    <w:uiPriority w:val="99"/>
    <w:semiHidden/>
    <w:unhideWhenUsed/>
    <w:rsid w:val="004C255D"/>
    <w:pPr>
      <w:spacing w:line="240" w:lineRule="auto"/>
    </w:pPr>
    <w:rPr>
      <w:sz w:val="20"/>
      <w:szCs w:val="20"/>
    </w:rPr>
  </w:style>
  <w:style w:type="character" w:customStyle="1" w:styleId="EndnoteTextChar">
    <w:name w:val="Endnote Text Char"/>
    <w:basedOn w:val="DefaultParagraphFont"/>
    <w:link w:val="EndnoteText"/>
    <w:uiPriority w:val="99"/>
    <w:semiHidden/>
    <w:rsid w:val="00F66A91"/>
    <w:rPr>
      <w:kern w:val="18"/>
      <w:sz w:val="20"/>
      <w:szCs w:val="20"/>
    </w:rPr>
  </w:style>
  <w:style w:type="paragraph" w:styleId="EnvelopeAddress">
    <w:name w:val="envelope address"/>
    <w:basedOn w:val="Normal"/>
    <w:uiPriority w:val="99"/>
    <w:semiHidden/>
    <w:unhideWhenUsed/>
    <w:rsid w:val="004C255D"/>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4C255D"/>
    <w:pPr>
      <w:spacing w:line="240" w:lineRule="auto"/>
    </w:pPr>
    <w:rPr>
      <w:rFonts w:asciiTheme="majorHAnsi" w:eastAsiaTheme="majorEastAsia" w:hAnsiTheme="majorHAnsi" w:cstheme="majorBidi"/>
      <w:sz w:val="20"/>
      <w:szCs w:val="20"/>
    </w:rPr>
  </w:style>
  <w:style w:type="character" w:styleId="HTMLAcronym">
    <w:name w:val="HTML Acronym"/>
    <w:basedOn w:val="DefaultParagraphFont"/>
    <w:uiPriority w:val="99"/>
    <w:semiHidden/>
    <w:unhideWhenUsed/>
    <w:rsid w:val="004C255D"/>
  </w:style>
  <w:style w:type="paragraph" w:styleId="HTMLAddress">
    <w:name w:val="HTML Address"/>
    <w:basedOn w:val="Normal"/>
    <w:link w:val="HTMLAddressChar"/>
    <w:uiPriority w:val="99"/>
    <w:semiHidden/>
    <w:unhideWhenUsed/>
    <w:rsid w:val="004C255D"/>
    <w:pPr>
      <w:spacing w:line="240" w:lineRule="auto"/>
    </w:pPr>
    <w:rPr>
      <w:i/>
      <w:iCs/>
    </w:rPr>
  </w:style>
  <w:style w:type="character" w:customStyle="1" w:styleId="HTMLAddressChar">
    <w:name w:val="HTML Address Char"/>
    <w:basedOn w:val="DefaultParagraphFont"/>
    <w:link w:val="HTMLAddress"/>
    <w:uiPriority w:val="99"/>
    <w:semiHidden/>
    <w:rsid w:val="00F66A91"/>
    <w:rPr>
      <w:i/>
      <w:iCs/>
      <w:kern w:val="18"/>
    </w:rPr>
  </w:style>
  <w:style w:type="character" w:styleId="HTMLCite">
    <w:name w:val="HTML Cite"/>
    <w:basedOn w:val="DefaultParagraphFont"/>
    <w:uiPriority w:val="99"/>
    <w:semiHidden/>
    <w:unhideWhenUsed/>
    <w:rsid w:val="004C255D"/>
    <w:rPr>
      <w:i/>
      <w:iCs/>
    </w:rPr>
  </w:style>
  <w:style w:type="character" w:styleId="HTMLCode">
    <w:name w:val="HTML Code"/>
    <w:basedOn w:val="DefaultParagraphFont"/>
    <w:uiPriority w:val="99"/>
    <w:semiHidden/>
    <w:unhideWhenUsed/>
    <w:rsid w:val="004C255D"/>
    <w:rPr>
      <w:rFonts w:ascii="Consolas" w:hAnsi="Consolas"/>
      <w:sz w:val="20"/>
      <w:szCs w:val="20"/>
    </w:rPr>
  </w:style>
  <w:style w:type="character" w:styleId="HTMLDefinition">
    <w:name w:val="HTML Definition"/>
    <w:basedOn w:val="DefaultParagraphFont"/>
    <w:uiPriority w:val="99"/>
    <w:semiHidden/>
    <w:unhideWhenUsed/>
    <w:rsid w:val="004C255D"/>
    <w:rPr>
      <w:i/>
      <w:iCs/>
    </w:rPr>
  </w:style>
  <w:style w:type="character" w:styleId="HTMLKeyboard">
    <w:name w:val="HTML Keyboard"/>
    <w:basedOn w:val="DefaultParagraphFont"/>
    <w:uiPriority w:val="99"/>
    <w:semiHidden/>
    <w:unhideWhenUsed/>
    <w:rsid w:val="004C255D"/>
    <w:rPr>
      <w:rFonts w:ascii="Consolas" w:hAnsi="Consolas"/>
      <w:sz w:val="20"/>
      <w:szCs w:val="20"/>
    </w:rPr>
  </w:style>
  <w:style w:type="paragraph" w:styleId="HTMLPreformatted">
    <w:name w:val="HTML Preformatted"/>
    <w:basedOn w:val="Normal"/>
    <w:link w:val="HTMLPreformattedChar"/>
    <w:uiPriority w:val="99"/>
    <w:semiHidden/>
    <w:unhideWhenUsed/>
    <w:rsid w:val="004C255D"/>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66A91"/>
    <w:rPr>
      <w:rFonts w:ascii="Consolas" w:hAnsi="Consolas"/>
      <w:kern w:val="18"/>
      <w:sz w:val="20"/>
      <w:szCs w:val="20"/>
    </w:rPr>
  </w:style>
  <w:style w:type="character" w:styleId="HTMLSample">
    <w:name w:val="HTML Sample"/>
    <w:basedOn w:val="DefaultParagraphFont"/>
    <w:uiPriority w:val="99"/>
    <w:semiHidden/>
    <w:unhideWhenUsed/>
    <w:rsid w:val="004C255D"/>
    <w:rPr>
      <w:rFonts w:ascii="Consolas" w:hAnsi="Consolas"/>
      <w:sz w:val="24"/>
      <w:szCs w:val="24"/>
    </w:rPr>
  </w:style>
  <w:style w:type="character" w:styleId="HTMLTypewriter">
    <w:name w:val="HTML Typewriter"/>
    <w:basedOn w:val="DefaultParagraphFont"/>
    <w:uiPriority w:val="99"/>
    <w:semiHidden/>
    <w:unhideWhenUsed/>
    <w:rsid w:val="004C255D"/>
    <w:rPr>
      <w:rFonts w:ascii="Consolas" w:hAnsi="Consolas"/>
      <w:sz w:val="20"/>
      <w:szCs w:val="20"/>
    </w:rPr>
  </w:style>
  <w:style w:type="character" w:styleId="HTMLVariable">
    <w:name w:val="HTML Variable"/>
    <w:basedOn w:val="DefaultParagraphFont"/>
    <w:uiPriority w:val="99"/>
    <w:semiHidden/>
    <w:unhideWhenUsed/>
    <w:rsid w:val="004C255D"/>
    <w:rPr>
      <w:i/>
      <w:iCs/>
    </w:rPr>
  </w:style>
  <w:style w:type="paragraph" w:styleId="Index1">
    <w:name w:val="index 1"/>
    <w:basedOn w:val="Normal"/>
    <w:next w:val="Normal"/>
    <w:autoRedefine/>
    <w:uiPriority w:val="99"/>
    <w:semiHidden/>
    <w:unhideWhenUsed/>
    <w:rsid w:val="004C255D"/>
    <w:pPr>
      <w:spacing w:line="240" w:lineRule="auto"/>
      <w:ind w:left="180" w:hanging="180"/>
    </w:pPr>
  </w:style>
  <w:style w:type="paragraph" w:styleId="Index2">
    <w:name w:val="index 2"/>
    <w:basedOn w:val="Normal"/>
    <w:next w:val="Normal"/>
    <w:autoRedefine/>
    <w:uiPriority w:val="99"/>
    <w:semiHidden/>
    <w:unhideWhenUsed/>
    <w:rsid w:val="004C255D"/>
    <w:pPr>
      <w:spacing w:line="240" w:lineRule="auto"/>
      <w:ind w:left="360" w:hanging="180"/>
    </w:pPr>
  </w:style>
  <w:style w:type="paragraph" w:styleId="Index3">
    <w:name w:val="index 3"/>
    <w:basedOn w:val="Normal"/>
    <w:next w:val="Normal"/>
    <w:autoRedefine/>
    <w:uiPriority w:val="99"/>
    <w:semiHidden/>
    <w:unhideWhenUsed/>
    <w:rsid w:val="004C255D"/>
    <w:pPr>
      <w:spacing w:line="240" w:lineRule="auto"/>
      <w:ind w:left="540" w:hanging="180"/>
    </w:pPr>
  </w:style>
  <w:style w:type="paragraph" w:styleId="Index4">
    <w:name w:val="index 4"/>
    <w:basedOn w:val="Normal"/>
    <w:next w:val="Normal"/>
    <w:autoRedefine/>
    <w:uiPriority w:val="99"/>
    <w:semiHidden/>
    <w:unhideWhenUsed/>
    <w:rsid w:val="004C255D"/>
    <w:pPr>
      <w:spacing w:line="240" w:lineRule="auto"/>
      <w:ind w:left="720" w:hanging="180"/>
    </w:pPr>
  </w:style>
  <w:style w:type="paragraph" w:styleId="Index5">
    <w:name w:val="index 5"/>
    <w:basedOn w:val="Normal"/>
    <w:next w:val="Normal"/>
    <w:autoRedefine/>
    <w:uiPriority w:val="99"/>
    <w:semiHidden/>
    <w:unhideWhenUsed/>
    <w:rsid w:val="004C255D"/>
    <w:pPr>
      <w:spacing w:line="240" w:lineRule="auto"/>
      <w:ind w:left="900" w:hanging="180"/>
    </w:pPr>
  </w:style>
  <w:style w:type="paragraph" w:styleId="Index6">
    <w:name w:val="index 6"/>
    <w:basedOn w:val="Normal"/>
    <w:next w:val="Normal"/>
    <w:autoRedefine/>
    <w:uiPriority w:val="99"/>
    <w:semiHidden/>
    <w:unhideWhenUsed/>
    <w:rsid w:val="004C255D"/>
    <w:pPr>
      <w:spacing w:line="240" w:lineRule="auto"/>
      <w:ind w:left="1080" w:hanging="180"/>
    </w:pPr>
  </w:style>
  <w:style w:type="paragraph" w:styleId="Index7">
    <w:name w:val="index 7"/>
    <w:basedOn w:val="Normal"/>
    <w:next w:val="Normal"/>
    <w:autoRedefine/>
    <w:uiPriority w:val="99"/>
    <w:semiHidden/>
    <w:unhideWhenUsed/>
    <w:rsid w:val="004C255D"/>
    <w:pPr>
      <w:spacing w:line="240" w:lineRule="auto"/>
      <w:ind w:left="1260" w:hanging="180"/>
    </w:pPr>
  </w:style>
  <w:style w:type="paragraph" w:styleId="Index8">
    <w:name w:val="index 8"/>
    <w:basedOn w:val="Normal"/>
    <w:next w:val="Normal"/>
    <w:autoRedefine/>
    <w:uiPriority w:val="99"/>
    <w:semiHidden/>
    <w:unhideWhenUsed/>
    <w:rsid w:val="004C255D"/>
    <w:pPr>
      <w:spacing w:line="240" w:lineRule="auto"/>
      <w:ind w:left="1440" w:hanging="180"/>
    </w:pPr>
  </w:style>
  <w:style w:type="paragraph" w:styleId="Index9">
    <w:name w:val="index 9"/>
    <w:basedOn w:val="Normal"/>
    <w:next w:val="Normal"/>
    <w:autoRedefine/>
    <w:uiPriority w:val="99"/>
    <w:semiHidden/>
    <w:unhideWhenUsed/>
    <w:rsid w:val="004C255D"/>
    <w:pPr>
      <w:spacing w:line="240" w:lineRule="auto"/>
      <w:ind w:left="1620" w:hanging="180"/>
    </w:pPr>
  </w:style>
  <w:style w:type="paragraph" w:styleId="IndexHeading">
    <w:name w:val="index heading"/>
    <w:basedOn w:val="Normal"/>
    <w:next w:val="Index1"/>
    <w:uiPriority w:val="99"/>
    <w:semiHidden/>
    <w:unhideWhenUsed/>
    <w:rsid w:val="004C255D"/>
    <w:rPr>
      <w:rFonts w:asciiTheme="majorHAnsi" w:eastAsiaTheme="majorEastAsia" w:hAnsiTheme="majorHAnsi" w:cstheme="majorBidi"/>
      <w:b/>
      <w:bCs/>
    </w:rPr>
  </w:style>
  <w:style w:type="character" w:styleId="IntenseEmphasis">
    <w:name w:val="Intense Emphasis"/>
    <w:basedOn w:val="DefaultParagraphFont"/>
    <w:uiPriority w:val="21"/>
    <w:unhideWhenUsed/>
    <w:rsid w:val="004C255D"/>
    <w:rPr>
      <w:b/>
      <w:bCs/>
      <w:i/>
      <w:iCs/>
      <w:color w:val="00B5E2" w:themeColor="accent1"/>
    </w:rPr>
  </w:style>
  <w:style w:type="paragraph" w:styleId="IntenseQuote">
    <w:name w:val="Intense Quote"/>
    <w:basedOn w:val="Normal"/>
    <w:next w:val="Normal"/>
    <w:link w:val="IntenseQuoteChar"/>
    <w:uiPriority w:val="30"/>
    <w:unhideWhenUsed/>
    <w:rsid w:val="004C255D"/>
    <w:pPr>
      <w:pBdr>
        <w:bottom w:val="single" w:sz="4" w:space="4" w:color="00B5E2" w:themeColor="accent1"/>
      </w:pBdr>
      <w:spacing w:before="200" w:after="280"/>
      <w:ind w:left="936" w:right="936"/>
    </w:pPr>
    <w:rPr>
      <w:b/>
      <w:bCs/>
      <w:i/>
      <w:iCs/>
      <w:color w:val="00B5E2" w:themeColor="accent1"/>
    </w:rPr>
  </w:style>
  <w:style w:type="character" w:customStyle="1" w:styleId="IntenseQuoteChar">
    <w:name w:val="Intense Quote Char"/>
    <w:basedOn w:val="DefaultParagraphFont"/>
    <w:link w:val="IntenseQuote"/>
    <w:uiPriority w:val="30"/>
    <w:rsid w:val="00F66A91"/>
    <w:rPr>
      <w:b/>
      <w:bCs/>
      <w:i/>
      <w:iCs/>
      <w:color w:val="00B5E2" w:themeColor="accent1"/>
      <w:kern w:val="18"/>
    </w:rPr>
  </w:style>
  <w:style w:type="character" w:styleId="IntenseReference">
    <w:name w:val="Intense Reference"/>
    <w:basedOn w:val="DefaultParagraphFont"/>
    <w:uiPriority w:val="32"/>
    <w:unhideWhenUsed/>
    <w:rsid w:val="004C255D"/>
    <w:rPr>
      <w:b/>
      <w:bCs/>
      <w:smallCaps/>
      <w:color w:val="84BD00" w:themeColor="accent2"/>
      <w:spacing w:val="5"/>
      <w:u w:val="single"/>
    </w:rPr>
  </w:style>
  <w:style w:type="character" w:styleId="LineNumber">
    <w:name w:val="line number"/>
    <w:basedOn w:val="DefaultParagraphFont"/>
    <w:uiPriority w:val="99"/>
    <w:semiHidden/>
    <w:unhideWhenUsed/>
    <w:rsid w:val="004C255D"/>
  </w:style>
  <w:style w:type="paragraph" w:styleId="List">
    <w:name w:val="List"/>
    <w:basedOn w:val="Normal"/>
    <w:uiPriority w:val="99"/>
    <w:semiHidden/>
    <w:unhideWhenUsed/>
    <w:rsid w:val="004C255D"/>
    <w:pPr>
      <w:ind w:left="283" w:hanging="283"/>
      <w:contextualSpacing/>
    </w:pPr>
  </w:style>
  <w:style w:type="paragraph" w:styleId="List2">
    <w:name w:val="List 2"/>
    <w:basedOn w:val="Normal"/>
    <w:uiPriority w:val="99"/>
    <w:semiHidden/>
    <w:unhideWhenUsed/>
    <w:rsid w:val="004C255D"/>
    <w:pPr>
      <w:ind w:left="566" w:hanging="283"/>
      <w:contextualSpacing/>
    </w:pPr>
  </w:style>
  <w:style w:type="paragraph" w:styleId="List3">
    <w:name w:val="List 3"/>
    <w:basedOn w:val="Normal"/>
    <w:uiPriority w:val="99"/>
    <w:semiHidden/>
    <w:unhideWhenUsed/>
    <w:rsid w:val="004C255D"/>
    <w:pPr>
      <w:ind w:left="849" w:hanging="283"/>
      <w:contextualSpacing/>
    </w:pPr>
  </w:style>
  <w:style w:type="paragraph" w:styleId="List4">
    <w:name w:val="List 4"/>
    <w:basedOn w:val="Normal"/>
    <w:uiPriority w:val="99"/>
    <w:semiHidden/>
    <w:unhideWhenUsed/>
    <w:rsid w:val="004C255D"/>
    <w:pPr>
      <w:ind w:left="1132" w:hanging="283"/>
      <w:contextualSpacing/>
    </w:pPr>
  </w:style>
  <w:style w:type="paragraph" w:styleId="List5">
    <w:name w:val="List 5"/>
    <w:basedOn w:val="Normal"/>
    <w:uiPriority w:val="99"/>
    <w:semiHidden/>
    <w:unhideWhenUsed/>
    <w:rsid w:val="004C255D"/>
    <w:pPr>
      <w:ind w:left="1415" w:hanging="283"/>
      <w:contextualSpacing/>
    </w:pPr>
  </w:style>
  <w:style w:type="paragraph" w:styleId="ListBullet4">
    <w:name w:val="List Bullet 4"/>
    <w:basedOn w:val="Normal"/>
    <w:uiPriority w:val="99"/>
    <w:semiHidden/>
    <w:unhideWhenUsed/>
    <w:rsid w:val="004C255D"/>
    <w:pPr>
      <w:numPr>
        <w:numId w:val="3"/>
      </w:numPr>
      <w:contextualSpacing/>
    </w:pPr>
  </w:style>
  <w:style w:type="paragraph" w:styleId="ListBullet5">
    <w:name w:val="List Bullet 5"/>
    <w:basedOn w:val="Normal"/>
    <w:uiPriority w:val="99"/>
    <w:semiHidden/>
    <w:unhideWhenUsed/>
    <w:rsid w:val="004C255D"/>
    <w:pPr>
      <w:numPr>
        <w:numId w:val="4"/>
      </w:numPr>
      <w:contextualSpacing/>
    </w:pPr>
  </w:style>
  <w:style w:type="paragraph" w:styleId="ListContinue">
    <w:name w:val="List Continue"/>
    <w:basedOn w:val="Normal"/>
    <w:uiPriority w:val="99"/>
    <w:semiHidden/>
    <w:unhideWhenUsed/>
    <w:rsid w:val="004C255D"/>
    <w:pPr>
      <w:spacing w:after="120"/>
      <w:ind w:left="283"/>
      <w:contextualSpacing/>
    </w:pPr>
  </w:style>
  <w:style w:type="paragraph" w:styleId="ListContinue2">
    <w:name w:val="List Continue 2"/>
    <w:basedOn w:val="Normal"/>
    <w:uiPriority w:val="99"/>
    <w:semiHidden/>
    <w:unhideWhenUsed/>
    <w:rsid w:val="004C255D"/>
    <w:pPr>
      <w:spacing w:after="120"/>
      <w:ind w:left="566"/>
      <w:contextualSpacing/>
    </w:pPr>
  </w:style>
  <w:style w:type="paragraph" w:styleId="ListContinue3">
    <w:name w:val="List Continue 3"/>
    <w:basedOn w:val="Normal"/>
    <w:uiPriority w:val="99"/>
    <w:semiHidden/>
    <w:unhideWhenUsed/>
    <w:rsid w:val="004C255D"/>
    <w:pPr>
      <w:spacing w:after="120"/>
      <w:ind w:left="849"/>
      <w:contextualSpacing/>
    </w:pPr>
  </w:style>
  <w:style w:type="paragraph" w:styleId="ListContinue4">
    <w:name w:val="List Continue 4"/>
    <w:basedOn w:val="Normal"/>
    <w:uiPriority w:val="99"/>
    <w:semiHidden/>
    <w:unhideWhenUsed/>
    <w:rsid w:val="004C255D"/>
    <w:pPr>
      <w:spacing w:after="120"/>
      <w:ind w:left="1132"/>
      <w:contextualSpacing/>
    </w:pPr>
  </w:style>
  <w:style w:type="paragraph" w:styleId="ListContinue5">
    <w:name w:val="List Continue 5"/>
    <w:basedOn w:val="Normal"/>
    <w:uiPriority w:val="99"/>
    <w:semiHidden/>
    <w:unhideWhenUsed/>
    <w:rsid w:val="004C255D"/>
    <w:pPr>
      <w:spacing w:after="120"/>
      <w:ind w:left="1415"/>
      <w:contextualSpacing/>
    </w:pPr>
  </w:style>
  <w:style w:type="paragraph" w:styleId="ListNumber4">
    <w:name w:val="List Number 4"/>
    <w:basedOn w:val="Normal"/>
    <w:uiPriority w:val="99"/>
    <w:semiHidden/>
    <w:unhideWhenUsed/>
    <w:rsid w:val="004C255D"/>
    <w:pPr>
      <w:numPr>
        <w:numId w:val="5"/>
      </w:numPr>
      <w:contextualSpacing/>
    </w:pPr>
  </w:style>
  <w:style w:type="paragraph" w:styleId="ListNumber5">
    <w:name w:val="List Number 5"/>
    <w:basedOn w:val="Normal"/>
    <w:uiPriority w:val="99"/>
    <w:semiHidden/>
    <w:unhideWhenUsed/>
    <w:rsid w:val="004C255D"/>
    <w:pPr>
      <w:numPr>
        <w:numId w:val="6"/>
      </w:numPr>
      <w:contextualSpacing/>
    </w:pPr>
  </w:style>
  <w:style w:type="paragraph" w:styleId="ListParagraph">
    <w:name w:val="List Paragraph"/>
    <w:basedOn w:val="Normal"/>
    <w:uiPriority w:val="34"/>
    <w:unhideWhenUsed/>
    <w:qFormat/>
    <w:rsid w:val="004C255D"/>
    <w:pPr>
      <w:ind w:left="720"/>
      <w:contextualSpacing/>
    </w:pPr>
  </w:style>
  <w:style w:type="paragraph" w:styleId="MacroText">
    <w:name w:val="macro"/>
    <w:link w:val="MacroTextChar"/>
    <w:uiPriority w:val="99"/>
    <w:semiHidden/>
    <w:unhideWhenUsed/>
    <w:rsid w:val="004C255D"/>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nsolas" w:hAnsi="Consolas"/>
      <w:sz w:val="20"/>
      <w:szCs w:val="20"/>
    </w:rPr>
  </w:style>
  <w:style w:type="character" w:customStyle="1" w:styleId="MacroTextChar">
    <w:name w:val="Macro Text Char"/>
    <w:basedOn w:val="DefaultParagraphFont"/>
    <w:link w:val="MacroText"/>
    <w:uiPriority w:val="99"/>
    <w:semiHidden/>
    <w:rsid w:val="00F66A91"/>
    <w:rPr>
      <w:rFonts w:ascii="Consolas" w:hAnsi="Consolas"/>
      <w:sz w:val="20"/>
      <w:szCs w:val="20"/>
    </w:rPr>
  </w:style>
  <w:style w:type="paragraph" w:styleId="MessageHeader">
    <w:name w:val="Message Header"/>
    <w:basedOn w:val="Normal"/>
    <w:link w:val="MessageHeaderChar"/>
    <w:uiPriority w:val="99"/>
    <w:semiHidden/>
    <w:unhideWhenUsed/>
    <w:rsid w:val="004C255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F66A91"/>
    <w:rPr>
      <w:rFonts w:asciiTheme="majorHAnsi" w:eastAsiaTheme="majorEastAsia" w:hAnsiTheme="majorHAnsi" w:cstheme="majorBidi"/>
      <w:kern w:val="18"/>
      <w:sz w:val="24"/>
      <w:szCs w:val="24"/>
      <w:shd w:val="pct20" w:color="auto" w:fill="auto"/>
    </w:rPr>
  </w:style>
  <w:style w:type="paragraph" w:styleId="NoSpacing">
    <w:name w:val="No Spacing"/>
    <w:uiPriority w:val="1"/>
    <w:unhideWhenUsed/>
    <w:rsid w:val="004C255D"/>
    <w:pPr>
      <w:tabs>
        <w:tab w:val="left" w:pos="284"/>
      </w:tabs>
    </w:pPr>
  </w:style>
  <w:style w:type="paragraph" w:styleId="NormalWeb">
    <w:name w:val="Normal (Web)"/>
    <w:basedOn w:val="Normal"/>
    <w:uiPriority w:val="99"/>
    <w:semiHidden/>
    <w:unhideWhenUsed/>
    <w:rsid w:val="004C255D"/>
    <w:rPr>
      <w:rFonts w:ascii="Times New Roman" w:hAnsi="Times New Roman" w:cs="Times New Roman"/>
      <w:sz w:val="24"/>
      <w:szCs w:val="24"/>
    </w:rPr>
  </w:style>
  <w:style w:type="paragraph" w:styleId="NormalIndent">
    <w:name w:val="Normal Indent"/>
    <w:basedOn w:val="Normal"/>
    <w:uiPriority w:val="99"/>
    <w:semiHidden/>
    <w:unhideWhenUsed/>
    <w:rsid w:val="004C255D"/>
    <w:pPr>
      <w:ind w:left="720"/>
    </w:pPr>
  </w:style>
  <w:style w:type="paragraph" w:styleId="NoteHeading">
    <w:name w:val="Note Heading"/>
    <w:basedOn w:val="Normal"/>
    <w:next w:val="Normal"/>
    <w:link w:val="NoteHeadingChar"/>
    <w:uiPriority w:val="99"/>
    <w:semiHidden/>
    <w:unhideWhenUsed/>
    <w:rsid w:val="004C255D"/>
    <w:pPr>
      <w:spacing w:line="240" w:lineRule="auto"/>
    </w:pPr>
  </w:style>
  <w:style w:type="character" w:customStyle="1" w:styleId="NoteHeadingChar">
    <w:name w:val="Note Heading Char"/>
    <w:basedOn w:val="DefaultParagraphFont"/>
    <w:link w:val="NoteHeading"/>
    <w:uiPriority w:val="99"/>
    <w:semiHidden/>
    <w:rsid w:val="00F66A91"/>
    <w:rPr>
      <w:kern w:val="18"/>
    </w:rPr>
  </w:style>
  <w:style w:type="character" w:styleId="PageNumber">
    <w:name w:val="page number"/>
    <w:basedOn w:val="DefaultParagraphFont"/>
    <w:uiPriority w:val="99"/>
    <w:semiHidden/>
    <w:unhideWhenUsed/>
    <w:rsid w:val="004C255D"/>
  </w:style>
  <w:style w:type="character" w:styleId="PlaceholderText">
    <w:name w:val="Placeholder Text"/>
    <w:basedOn w:val="DefaultParagraphFont"/>
    <w:uiPriority w:val="99"/>
    <w:semiHidden/>
    <w:unhideWhenUsed/>
    <w:rsid w:val="004C255D"/>
    <w:rPr>
      <w:color w:val="808080"/>
    </w:rPr>
  </w:style>
  <w:style w:type="paragraph" w:styleId="PlainText">
    <w:name w:val="Plain Text"/>
    <w:basedOn w:val="Normal"/>
    <w:link w:val="PlainTextChar"/>
    <w:uiPriority w:val="99"/>
    <w:semiHidden/>
    <w:unhideWhenUsed/>
    <w:rsid w:val="004C255D"/>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F66A91"/>
    <w:rPr>
      <w:rFonts w:ascii="Consolas" w:hAnsi="Consolas"/>
      <w:kern w:val="18"/>
      <w:sz w:val="21"/>
      <w:szCs w:val="21"/>
    </w:rPr>
  </w:style>
  <w:style w:type="paragraph" w:styleId="Salutation">
    <w:name w:val="Salutation"/>
    <w:basedOn w:val="Normal"/>
    <w:next w:val="Normal"/>
    <w:link w:val="SalutationChar"/>
    <w:uiPriority w:val="99"/>
    <w:semiHidden/>
    <w:unhideWhenUsed/>
    <w:rsid w:val="004C255D"/>
  </w:style>
  <w:style w:type="character" w:customStyle="1" w:styleId="SalutationChar">
    <w:name w:val="Salutation Char"/>
    <w:basedOn w:val="DefaultParagraphFont"/>
    <w:link w:val="Salutation"/>
    <w:uiPriority w:val="99"/>
    <w:semiHidden/>
    <w:rsid w:val="00F66A91"/>
    <w:rPr>
      <w:kern w:val="18"/>
    </w:rPr>
  </w:style>
  <w:style w:type="paragraph" w:styleId="Signature">
    <w:name w:val="Signature"/>
    <w:basedOn w:val="Normal"/>
    <w:link w:val="SignatureChar"/>
    <w:uiPriority w:val="99"/>
    <w:semiHidden/>
    <w:unhideWhenUsed/>
    <w:rsid w:val="004C255D"/>
    <w:pPr>
      <w:spacing w:line="240" w:lineRule="auto"/>
      <w:ind w:left="4252"/>
    </w:pPr>
  </w:style>
  <w:style w:type="character" w:customStyle="1" w:styleId="SignatureChar">
    <w:name w:val="Signature Char"/>
    <w:basedOn w:val="DefaultParagraphFont"/>
    <w:link w:val="Signature"/>
    <w:uiPriority w:val="99"/>
    <w:semiHidden/>
    <w:rsid w:val="00F66A91"/>
    <w:rPr>
      <w:kern w:val="18"/>
    </w:rPr>
  </w:style>
  <w:style w:type="character" w:styleId="SubtleEmphasis">
    <w:name w:val="Subtle Emphasis"/>
    <w:basedOn w:val="DefaultParagraphFont"/>
    <w:uiPriority w:val="19"/>
    <w:unhideWhenUsed/>
    <w:rsid w:val="004C255D"/>
    <w:rPr>
      <w:i/>
      <w:iCs/>
      <w:color w:val="808080" w:themeColor="text1" w:themeTint="7F"/>
    </w:rPr>
  </w:style>
  <w:style w:type="character" w:styleId="SubtleReference">
    <w:name w:val="Subtle Reference"/>
    <w:basedOn w:val="DefaultParagraphFont"/>
    <w:uiPriority w:val="31"/>
    <w:unhideWhenUsed/>
    <w:rsid w:val="004C255D"/>
    <w:rPr>
      <w:smallCaps/>
      <w:color w:val="84BD00" w:themeColor="accent2"/>
      <w:u w:val="single"/>
    </w:rPr>
  </w:style>
  <w:style w:type="paragraph" w:styleId="TableofAuthorities">
    <w:name w:val="table of authorities"/>
    <w:basedOn w:val="Normal"/>
    <w:next w:val="Normal"/>
    <w:uiPriority w:val="99"/>
    <w:semiHidden/>
    <w:unhideWhenUsed/>
    <w:rsid w:val="004C255D"/>
    <w:pPr>
      <w:ind w:left="180" w:hanging="180"/>
    </w:pPr>
  </w:style>
  <w:style w:type="paragraph" w:styleId="TOAHeading">
    <w:name w:val="toa heading"/>
    <w:basedOn w:val="Normal"/>
    <w:next w:val="Normal"/>
    <w:uiPriority w:val="99"/>
    <w:semiHidden/>
    <w:unhideWhenUsed/>
    <w:rsid w:val="004C255D"/>
    <w:pPr>
      <w:spacing w:before="120"/>
    </w:pPr>
    <w:rPr>
      <w:rFonts w:asciiTheme="majorHAnsi" w:eastAsiaTheme="majorEastAsia" w:hAnsiTheme="majorHAnsi" w:cstheme="majorBidi"/>
      <w:b/>
      <w:bCs/>
      <w:sz w:val="24"/>
      <w:szCs w:val="24"/>
    </w:rPr>
  </w:style>
  <w:style w:type="paragraph" w:styleId="TOC4">
    <w:name w:val="toc 4"/>
    <w:basedOn w:val="Normal"/>
    <w:next w:val="Normal"/>
    <w:autoRedefine/>
    <w:uiPriority w:val="39"/>
    <w:unhideWhenUsed/>
    <w:rsid w:val="003964F2"/>
    <w:pPr>
      <w:tabs>
        <w:tab w:val="right" w:leader="dot" w:pos="9026"/>
      </w:tabs>
      <w:spacing w:after="40"/>
      <w:ind w:left="1134" w:hanging="567"/>
    </w:pPr>
  </w:style>
  <w:style w:type="paragraph" w:styleId="TOC5">
    <w:name w:val="toc 5"/>
    <w:basedOn w:val="Normal"/>
    <w:next w:val="Normal"/>
    <w:autoRedefine/>
    <w:uiPriority w:val="39"/>
    <w:semiHidden/>
    <w:unhideWhenUsed/>
    <w:rsid w:val="004C255D"/>
    <w:pPr>
      <w:spacing w:after="100"/>
      <w:ind w:left="720"/>
    </w:pPr>
  </w:style>
  <w:style w:type="paragraph" w:styleId="TOC6">
    <w:name w:val="toc 6"/>
    <w:basedOn w:val="Normal"/>
    <w:next w:val="Normal"/>
    <w:autoRedefine/>
    <w:uiPriority w:val="39"/>
    <w:semiHidden/>
    <w:unhideWhenUsed/>
    <w:rsid w:val="004C255D"/>
    <w:pPr>
      <w:spacing w:after="100"/>
      <w:ind w:left="900"/>
    </w:pPr>
  </w:style>
  <w:style w:type="paragraph" w:styleId="TOC7">
    <w:name w:val="toc 7"/>
    <w:basedOn w:val="Normal"/>
    <w:next w:val="Normal"/>
    <w:autoRedefine/>
    <w:uiPriority w:val="39"/>
    <w:semiHidden/>
    <w:unhideWhenUsed/>
    <w:rsid w:val="004C255D"/>
    <w:pPr>
      <w:spacing w:after="100"/>
      <w:ind w:left="1080"/>
    </w:pPr>
  </w:style>
  <w:style w:type="paragraph" w:styleId="TOC8">
    <w:name w:val="toc 8"/>
    <w:basedOn w:val="Normal"/>
    <w:next w:val="Normal"/>
    <w:autoRedefine/>
    <w:uiPriority w:val="39"/>
    <w:semiHidden/>
    <w:unhideWhenUsed/>
    <w:rsid w:val="004C255D"/>
    <w:pPr>
      <w:spacing w:after="100"/>
      <w:ind w:left="1260"/>
    </w:pPr>
  </w:style>
  <w:style w:type="paragraph" w:styleId="TOC9">
    <w:name w:val="toc 9"/>
    <w:basedOn w:val="Normal"/>
    <w:next w:val="Normal"/>
    <w:autoRedefine/>
    <w:uiPriority w:val="39"/>
    <w:semiHidden/>
    <w:unhideWhenUsed/>
    <w:rsid w:val="004C255D"/>
    <w:pPr>
      <w:spacing w:after="100"/>
      <w:ind w:left="1440"/>
    </w:pPr>
  </w:style>
  <w:style w:type="paragraph" w:customStyle="1" w:styleId="CVHeading">
    <w:name w:val="CV Heading"/>
    <w:basedOn w:val="BodyText"/>
    <w:uiPriority w:val="23"/>
    <w:qFormat/>
    <w:rsid w:val="004C255D"/>
    <w:rPr>
      <w:rFonts w:asciiTheme="majorHAnsi" w:hAnsiTheme="majorHAnsi"/>
      <w:b/>
      <w:sz w:val="24"/>
    </w:rPr>
  </w:style>
  <w:style w:type="paragraph" w:customStyle="1" w:styleId="CVIntroduction">
    <w:name w:val="CV Introduction"/>
    <w:basedOn w:val="BodyText"/>
    <w:uiPriority w:val="22"/>
    <w:qFormat/>
    <w:rsid w:val="004C255D"/>
    <w:pPr>
      <w:pBdr>
        <w:top w:val="single" w:sz="4" w:space="6" w:color="auto"/>
        <w:bottom w:val="single" w:sz="4" w:space="6" w:color="auto"/>
      </w:pBdr>
    </w:pPr>
    <w:rPr>
      <w:sz w:val="28"/>
    </w:rPr>
  </w:style>
  <w:style w:type="paragraph" w:customStyle="1" w:styleId="CVTitle">
    <w:name w:val="CV Title"/>
    <w:basedOn w:val="Normal"/>
    <w:uiPriority w:val="1"/>
    <w:semiHidden/>
    <w:unhideWhenUsed/>
    <w:rsid w:val="004C255D"/>
    <w:rPr>
      <w:rFonts w:asciiTheme="majorHAnsi" w:hAnsiTheme="majorHAnsi"/>
      <w:color w:val="000000" w:themeColor="text1"/>
      <w:sz w:val="32"/>
    </w:rPr>
  </w:style>
  <w:style w:type="table" w:customStyle="1" w:styleId="Tablenoborders">
    <w:name w:val="Table no borders"/>
    <w:basedOn w:val="TableNormal"/>
    <w:uiPriority w:val="99"/>
    <w:semiHidden/>
    <w:unhideWhenUsed/>
    <w:rsid w:val="00C314D3"/>
    <w:tblPr>
      <w:tblInd w:w="0" w:type="dxa"/>
      <w:tblCellMar>
        <w:top w:w="0" w:type="dxa"/>
        <w:left w:w="0" w:type="dxa"/>
        <w:bottom w:w="0" w:type="dxa"/>
        <w:right w:w="0" w:type="dxa"/>
      </w:tblCellMar>
    </w:tblPr>
  </w:style>
  <w:style w:type="numbering" w:customStyle="1" w:styleId="AECOMTableBullets">
    <w:name w:val="AECOM Table Bullets"/>
    <w:uiPriority w:val="99"/>
    <w:semiHidden/>
    <w:unhideWhenUsed/>
    <w:rsid w:val="002740A7"/>
    <w:pPr>
      <w:numPr>
        <w:numId w:val="16"/>
      </w:numPr>
    </w:pPr>
  </w:style>
  <w:style w:type="numbering" w:customStyle="1" w:styleId="AECOMTableNumbering">
    <w:name w:val="AECOM Table Numbering"/>
    <w:uiPriority w:val="99"/>
    <w:semiHidden/>
    <w:unhideWhenUsed/>
    <w:rsid w:val="002740A7"/>
    <w:pPr>
      <w:numPr>
        <w:numId w:val="17"/>
      </w:numPr>
    </w:pPr>
  </w:style>
  <w:style w:type="paragraph" w:customStyle="1" w:styleId="TableListBullet">
    <w:name w:val="Table List Bullet"/>
    <w:basedOn w:val="Normal"/>
    <w:uiPriority w:val="15"/>
    <w:qFormat/>
    <w:rsid w:val="002740A7"/>
    <w:pPr>
      <w:numPr>
        <w:numId w:val="19"/>
      </w:numPr>
      <w:spacing w:after="40" w:line="240" w:lineRule="auto"/>
    </w:pPr>
  </w:style>
  <w:style w:type="paragraph" w:customStyle="1" w:styleId="TableListBullet2">
    <w:name w:val="Table List Bullet 2"/>
    <w:basedOn w:val="Normal"/>
    <w:uiPriority w:val="16"/>
    <w:qFormat/>
    <w:rsid w:val="002740A7"/>
    <w:pPr>
      <w:numPr>
        <w:ilvl w:val="1"/>
        <w:numId w:val="19"/>
      </w:numPr>
      <w:spacing w:after="40" w:line="240" w:lineRule="auto"/>
    </w:pPr>
  </w:style>
  <w:style w:type="paragraph" w:customStyle="1" w:styleId="TableListBullet3">
    <w:name w:val="Table List Bullet 3"/>
    <w:basedOn w:val="Normal"/>
    <w:uiPriority w:val="17"/>
    <w:qFormat/>
    <w:rsid w:val="002740A7"/>
    <w:pPr>
      <w:numPr>
        <w:ilvl w:val="2"/>
        <w:numId w:val="19"/>
      </w:numPr>
      <w:spacing w:after="40" w:line="240" w:lineRule="auto"/>
    </w:pPr>
  </w:style>
  <w:style w:type="paragraph" w:customStyle="1" w:styleId="TableListNumber">
    <w:name w:val="Table List Number"/>
    <w:basedOn w:val="BodyText"/>
    <w:uiPriority w:val="18"/>
    <w:qFormat/>
    <w:rsid w:val="002740A7"/>
    <w:pPr>
      <w:numPr>
        <w:numId w:val="18"/>
      </w:numPr>
      <w:spacing w:after="40" w:line="240" w:lineRule="auto"/>
    </w:pPr>
  </w:style>
  <w:style w:type="paragraph" w:customStyle="1" w:styleId="TableListNumber2">
    <w:name w:val="Table List Number 2"/>
    <w:basedOn w:val="Normal"/>
    <w:uiPriority w:val="19"/>
    <w:qFormat/>
    <w:rsid w:val="002740A7"/>
    <w:pPr>
      <w:numPr>
        <w:ilvl w:val="1"/>
        <w:numId w:val="18"/>
      </w:numPr>
      <w:spacing w:after="40" w:line="240" w:lineRule="auto"/>
    </w:pPr>
  </w:style>
  <w:style w:type="paragraph" w:customStyle="1" w:styleId="TableListNumber3">
    <w:name w:val="Table List Number 3"/>
    <w:basedOn w:val="Normal"/>
    <w:uiPriority w:val="20"/>
    <w:qFormat/>
    <w:rsid w:val="002740A7"/>
    <w:pPr>
      <w:numPr>
        <w:ilvl w:val="2"/>
        <w:numId w:val="18"/>
      </w:numPr>
      <w:spacing w:after="40" w:line="240" w:lineRule="auto"/>
    </w:pPr>
  </w:style>
  <w:style w:type="paragraph" w:customStyle="1" w:styleId="Tabletext">
    <w:name w:val="Table text"/>
    <w:basedOn w:val="BodyText"/>
    <w:uiPriority w:val="1"/>
    <w:qFormat/>
    <w:rsid w:val="00AA045B"/>
    <w:pPr>
      <w:spacing w:before="40" w:after="40" w:line="240" w:lineRule="auto"/>
    </w:pPr>
  </w:style>
  <w:style w:type="paragraph" w:customStyle="1" w:styleId="Callout">
    <w:name w:val="Callout"/>
    <w:basedOn w:val="BodyText"/>
    <w:uiPriority w:val="1"/>
    <w:semiHidden/>
    <w:unhideWhenUsed/>
    <w:rsid w:val="00F352C7"/>
    <w:pPr>
      <w:spacing w:after="60"/>
    </w:pPr>
  </w:style>
  <w:style w:type="paragraph" w:customStyle="1" w:styleId="SQL">
    <w:name w:val="SQL"/>
    <w:uiPriority w:val="1"/>
    <w:semiHidden/>
    <w:unhideWhenUsed/>
    <w:rsid w:val="004D4675"/>
    <w:pPr>
      <w:spacing w:after="120" w:line="240" w:lineRule="atLeast"/>
    </w:pPr>
    <w:rPr>
      <w:sz w:val="16"/>
      <w:lang w:val="en-CA"/>
    </w:rPr>
  </w:style>
  <w:style w:type="table" w:customStyle="1" w:styleId="AECOMcolouredtable">
    <w:name w:val="AECOM coloured table"/>
    <w:basedOn w:val="TableNormal"/>
    <w:uiPriority w:val="99"/>
    <w:semiHidden/>
    <w:unhideWhenUsed/>
    <w:rsid w:val="00890ADA"/>
    <w:tblPr>
      <w:tblStyleRowBandSize w:val="1"/>
      <w:tblInd w:w="0" w:type="dxa"/>
      <w:tblCellMar>
        <w:top w:w="0" w:type="dxa"/>
        <w:left w:w="108" w:type="dxa"/>
        <w:bottom w:w="0" w:type="dxa"/>
        <w:right w:w="108" w:type="dxa"/>
      </w:tblCellMar>
    </w:tblPr>
    <w:tblStylePr w:type="firstRow">
      <w:rPr>
        <w:b/>
        <w:color w:val="FFFFFF" w:themeColor="background1"/>
      </w:rPr>
      <w:tblPr/>
      <w:tcPr>
        <w:tcBorders>
          <w:bottom w:val="single" w:sz="12" w:space="0" w:color="FFFFFF" w:themeColor="background1"/>
          <w:insideV w:val="single" w:sz="4" w:space="0" w:color="FFFFFF" w:themeColor="background1"/>
        </w:tcBorders>
        <w:shd w:val="clear" w:color="auto" w:fill="00B5E2" w:themeFill="accent1"/>
      </w:tcPr>
    </w:tblStylePr>
    <w:tblStylePr w:type="firstCol">
      <w:rPr>
        <w:b/>
        <w:color w:val="FFFFFF" w:themeColor="background1"/>
      </w:rPr>
      <w:tblPr/>
      <w:tcPr>
        <w:tcBorders>
          <w:right w:val="single" w:sz="12" w:space="0" w:color="FFFFFF" w:themeColor="background1"/>
        </w:tcBorders>
        <w:shd w:val="clear" w:color="auto" w:fill="00B5E2" w:themeFill="accent1"/>
      </w:tcPr>
    </w:tblStylePr>
    <w:tblStylePr w:type="band1Horz">
      <w:tblPr/>
      <w:tcPr>
        <w:shd w:val="clear" w:color="auto" w:fill="C6F3FF" w:themeFill="accent1" w:themeFillTint="33"/>
      </w:tcPr>
    </w:tblStylePr>
    <w:tblStylePr w:type="band2Horz">
      <w:tblPr/>
      <w:tcPr>
        <w:shd w:val="clear" w:color="auto" w:fill="8DE8FF" w:themeFill="accent1" w:themeFillTint="66"/>
      </w:tcPr>
    </w:tblStylePr>
  </w:style>
  <w:style w:type="paragraph" w:customStyle="1" w:styleId="Appendixheading2">
    <w:name w:val="Appendix heading 2"/>
    <w:basedOn w:val="Heading2"/>
    <w:next w:val="BodyText"/>
    <w:uiPriority w:val="7"/>
    <w:qFormat/>
    <w:rsid w:val="005A1F44"/>
    <w:pPr>
      <w:numPr>
        <w:numId w:val="21"/>
      </w:numPr>
      <w:ind w:left="720"/>
    </w:pPr>
  </w:style>
  <w:style w:type="paragraph" w:styleId="Revision">
    <w:name w:val="Revision"/>
    <w:hidden/>
    <w:uiPriority w:val="99"/>
    <w:semiHidden/>
    <w:rsid w:val="00C57544"/>
    <w:rPr>
      <w:kern w:val="18"/>
    </w:rPr>
  </w:style>
  <w:style w:type="paragraph" w:customStyle="1" w:styleId="Figure">
    <w:name w:val="Figure"/>
    <w:basedOn w:val="BodyText"/>
    <w:link w:val="FigureChar"/>
    <w:autoRedefine/>
    <w:uiPriority w:val="1"/>
    <w:qFormat/>
    <w:rsid w:val="00BE0DA4"/>
    <w:rPr>
      <w:b/>
      <w:sz w:val="20"/>
      <w:lang w:val="en-US"/>
    </w:rPr>
  </w:style>
  <w:style w:type="character" w:customStyle="1" w:styleId="FigureChar">
    <w:name w:val="Figure Char"/>
    <w:basedOn w:val="BodyTextChar"/>
    <w:link w:val="Figure"/>
    <w:uiPriority w:val="1"/>
    <w:rsid w:val="00BE0DA4"/>
    <w:rPr>
      <w:b/>
      <w:kern w:val="18"/>
      <w:sz w:val="20"/>
      <w:szCs w:val="22"/>
      <w:lang w:val="en-US"/>
    </w:rPr>
  </w:style>
  <w:style w:type="paragraph" w:customStyle="1" w:styleId="2BodyText">
    <w:name w:val="2 BodyText"/>
    <w:basedOn w:val="Normal"/>
    <w:rsid w:val="00D370D8"/>
    <w:pPr>
      <w:spacing w:after="240"/>
    </w:pPr>
    <w:rPr>
      <w:rFonts w:cs="Times New Roman"/>
      <w:szCs w:val="26"/>
      <w:lang w:val="en-US"/>
    </w:rPr>
  </w:style>
  <w:style w:type="paragraph" w:customStyle="1" w:styleId="Default">
    <w:name w:val="Default"/>
    <w:rsid w:val="001C727A"/>
    <w:pPr>
      <w:autoSpaceDE w:val="0"/>
      <w:autoSpaceDN w:val="0"/>
      <w:adjustRightInd w:val="0"/>
    </w:pPr>
    <w:rPr>
      <w:rFonts w:ascii="Arial" w:hAnsi="Arial" w:cs="Arial"/>
      <w:color w:val="000000"/>
      <w:sz w:val="24"/>
      <w:szCs w:val="24"/>
    </w:rPr>
  </w:style>
  <w:style w:type="table" w:customStyle="1" w:styleId="AECOMtable1">
    <w:name w:val="AECOM table1"/>
    <w:basedOn w:val="TableNormal"/>
    <w:uiPriority w:val="99"/>
    <w:unhideWhenUsed/>
    <w:rsid w:val="001C727A"/>
    <w:rPr>
      <w:sz w:val="16"/>
    </w:rPr>
    <w:tblPr>
      <w:tblInd w:w="0" w:type="dxa"/>
      <w:tblBorders>
        <w:insideH w:val="single" w:sz="4" w:space="0" w:color="auto"/>
      </w:tblBorders>
      <w:tblCellMar>
        <w:top w:w="28" w:type="dxa"/>
        <w:left w:w="0" w:type="dxa"/>
        <w:bottom w:w="28" w:type="dxa"/>
        <w:right w:w="113" w:type="dxa"/>
      </w:tblCellMar>
    </w:tblPr>
    <w:tblStylePr w:type="firstRow">
      <w:rPr>
        <w:rFonts w:asciiTheme="majorHAnsi" w:hAnsiTheme="majorHAnsi"/>
        <w:b/>
        <w:color w:val="00B5E2" w:themeColor="accent1"/>
        <w:sz w:val="16"/>
      </w:rPr>
      <w:tblPr/>
      <w:tcPr>
        <w:tcBorders>
          <w:top w:val="nil"/>
          <w:left w:val="nil"/>
          <w:bottom w:val="single" w:sz="12" w:space="0" w:color="00B5E2" w:themeColor="accent1"/>
          <w:right w:val="nil"/>
          <w:insideH w:val="nil"/>
          <w:insideV w:val="nil"/>
          <w:tl2br w:val="nil"/>
          <w:tr2bl w:val="nil"/>
        </w:tcBorders>
      </w:tcPr>
    </w:tblStylePr>
  </w:style>
  <w:style w:type="table" w:customStyle="1" w:styleId="TableGrid10">
    <w:name w:val="Table Grid1"/>
    <w:basedOn w:val="TableNormal"/>
    <w:next w:val="TableGrid"/>
    <w:uiPriority w:val="59"/>
    <w:unhideWhenUsed/>
    <w:rsid w:val="002C2D5C"/>
    <w:rPr>
      <w:sz w:val="1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
    <w:tblStylePr w:type="firstRow">
      <w:rPr>
        <w:rFonts w:ascii="Arial" w:hAnsi="Arial"/>
        <w:b w:val="0"/>
      </w:rPr>
    </w:tblStylePr>
  </w:style>
  <w:style w:type="table" w:customStyle="1" w:styleId="Style11">
    <w:name w:val="Style11"/>
    <w:basedOn w:val="TableNormal"/>
    <w:uiPriority w:val="99"/>
    <w:rsid w:val="002C2D5C"/>
    <w:pPr>
      <w:ind w:left="567"/>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cPr>
    <w:tblStylePr w:type="firstRow">
      <w:tblPr/>
      <w:tcPr>
        <w:shd w:val="clear" w:color="auto" w:fill="000000"/>
      </w:tcPr>
    </w:tblStylePr>
  </w:style>
  <w:style w:type="character" w:customStyle="1" w:styleId="Hyperlink1">
    <w:name w:val="Hyperlink1"/>
    <w:basedOn w:val="DefaultParagraphFont"/>
    <w:uiPriority w:val="99"/>
    <w:qFormat/>
    <w:rsid w:val="002C2D5C"/>
    <w:rPr>
      <w:color w:val="00B5E2"/>
      <w:u w:val="single"/>
    </w:rPr>
  </w:style>
  <w:style w:type="table" w:customStyle="1" w:styleId="TableGrid20">
    <w:name w:val="Table Grid2"/>
    <w:basedOn w:val="TableNormal"/>
    <w:next w:val="TableGrid"/>
    <w:uiPriority w:val="59"/>
    <w:unhideWhenUsed/>
    <w:rsid w:val="002C2D5C"/>
    <w:rPr>
      <w:rFonts w:eastAsia="SimSun"/>
      <w:sz w:val="1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
    <w:tblStylePr w:type="firstRow">
      <w:rPr>
        <w:rFonts w:ascii="Arial" w:hAnsi="Arial"/>
        <w:b w:val="0"/>
      </w:rPr>
    </w:tblStylePr>
  </w:style>
  <w:style w:type="character" w:customStyle="1" w:styleId="FootnoteReference1">
    <w:name w:val="Footnote Reference1"/>
    <w:basedOn w:val="DefaultParagraphFont"/>
    <w:uiPriority w:val="99"/>
    <w:unhideWhenUsed/>
    <w:rsid w:val="002C2D5C"/>
    <w:rPr>
      <w:rFonts w:ascii="Calibri Light" w:hAnsi="Calibri Light"/>
      <w:color w:val="auto"/>
      <w:vertAlign w:val="superscript"/>
    </w:rPr>
  </w:style>
  <w:style w:type="table" w:customStyle="1" w:styleId="ListTable31">
    <w:name w:val="List Table 31"/>
    <w:basedOn w:val="TableNormal"/>
    <w:uiPriority w:val="48"/>
    <w:rsid w:val="002C2D5C"/>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TableGrid21">
    <w:name w:val="Table Grid21"/>
    <w:basedOn w:val="TableNormal"/>
    <w:next w:val="TableGrid"/>
    <w:uiPriority w:val="59"/>
    <w:unhideWhenUsed/>
    <w:rsid w:val="002C2D5C"/>
    <w:rPr>
      <w:sz w:val="1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
    <w:tblStylePr w:type="firstRow">
      <w:rPr>
        <w:rFonts w:asciiTheme="majorHAnsi" w:hAnsiTheme="majorHAnsi"/>
        <w:b w:val="0"/>
      </w:rPr>
    </w:tblStylePr>
  </w:style>
  <w:style w:type="paragraph" w:customStyle="1" w:styleId="BoldBodyText">
    <w:name w:val="Bold Body Text"/>
    <w:basedOn w:val="BodyText"/>
    <w:link w:val="BoldBodyTextChar"/>
    <w:uiPriority w:val="1"/>
    <w:qFormat/>
    <w:rsid w:val="002C2D5C"/>
    <w:rPr>
      <w:b/>
      <w:lang/>
    </w:rPr>
  </w:style>
  <w:style w:type="character" w:customStyle="1" w:styleId="BoldBodyTextChar">
    <w:name w:val="Bold Body Text Char"/>
    <w:basedOn w:val="BodyTextChar"/>
    <w:link w:val="BoldBodyText"/>
    <w:uiPriority w:val="1"/>
    <w:rsid w:val="002C2D5C"/>
    <w:rPr>
      <w:b/>
      <w:kern w:val="18"/>
      <w:lang/>
    </w:rPr>
  </w:style>
  <w:style w:type="paragraph" w:customStyle="1" w:styleId="UnderlineBodyText">
    <w:name w:val="Underline Body Text"/>
    <w:basedOn w:val="BodyText"/>
    <w:link w:val="UnderlineBodyTextChar"/>
    <w:uiPriority w:val="1"/>
    <w:qFormat/>
    <w:rsid w:val="002C2D5C"/>
    <w:rPr>
      <w:u w:val="single"/>
    </w:rPr>
  </w:style>
  <w:style w:type="paragraph" w:customStyle="1" w:styleId="ItalicsBodyText">
    <w:name w:val="Italics Body Text"/>
    <w:basedOn w:val="BodyText"/>
    <w:link w:val="ItalicsBodyTextChar"/>
    <w:uiPriority w:val="1"/>
    <w:qFormat/>
    <w:rsid w:val="002C2D5C"/>
    <w:rPr>
      <w:i/>
    </w:rPr>
  </w:style>
  <w:style w:type="character" w:customStyle="1" w:styleId="UnderlineBodyTextChar">
    <w:name w:val="Underline Body Text Char"/>
    <w:basedOn w:val="BodyTextChar"/>
    <w:link w:val="UnderlineBodyText"/>
    <w:uiPriority w:val="1"/>
    <w:rsid w:val="002C2D5C"/>
    <w:rPr>
      <w:kern w:val="18"/>
      <w:u w:val="single"/>
    </w:rPr>
  </w:style>
  <w:style w:type="character" w:customStyle="1" w:styleId="ItalicsBodyTextChar">
    <w:name w:val="Italics Body Text Char"/>
    <w:basedOn w:val="BodyTextChar"/>
    <w:link w:val="ItalicsBodyText"/>
    <w:uiPriority w:val="1"/>
    <w:rsid w:val="002C2D5C"/>
    <w:rPr>
      <w:i/>
      <w:kern w:val="18"/>
    </w:rPr>
  </w:style>
  <w:style w:type="character" w:customStyle="1" w:styleId="UnresolvedMention1">
    <w:name w:val="Unresolved Mention1"/>
    <w:basedOn w:val="DefaultParagraphFont"/>
    <w:uiPriority w:val="99"/>
    <w:semiHidden/>
    <w:unhideWhenUsed/>
    <w:rsid w:val="002C2D5C"/>
    <w:rPr>
      <w:color w:val="605E5C"/>
      <w:shd w:val="clear" w:color="auto" w:fill="E1DFDD"/>
    </w:rPr>
  </w:style>
  <w:style w:type="character" w:customStyle="1" w:styleId="SourceChar">
    <w:name w:val="Source Char"/>
    <w:basedOn w:val="DefaultParagraphFont"/>
    <w:link w:val="Source"/>
    <w:rsid w:val="002C2D5C"/>
    <w:rPr>
      <w:i/>
      <w:kern w:val="18"/>
      <w:sz w:val="16"/>
      <w:lang w:val="en-US"/>
    </w:rPr>
  </w:style>
  <w:style w:type="table" w:customStyle="1" w:styleId="Style1">
    <w:name w:val="Style1"/>
    <w:basedOn w:val="TableNormal"/>
    <w:uiPriority w:val="99"/>
    <w:rsid w:val="002C2D5C"/>
    <w:pPr>
      <w:ind w:left="567"/>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tcPr>
    <w:tblStylePr w:type="firstRow">
      <w:tblPr/>
      <w:tcPr>
        <w:shd w:val="clear" w:color="auto" w:fill="000000" w:themeFill="text1"/>
      </w:tcPr>
    </w:tblStylePr>
  </w:style>
  <w:style w:type="table" w:customStyle="1" w:styleId="TableGrid30">
    <w:name w:val="Table Grid3"/>
    <w:basedOn w:val="TableNormal"/>
    <w:next w:val="TableGrid"/>
    <w:uiPriority w:val="59"/>
    <w:unhideWhenUsed/>
    <w:rsid w:val="002C2D5C"/>
    <w:rPr>
      <w:sz w:val="1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
    <w:tblStylePr w:type="firstRow">
      <w:rPr>
        <w:rFonts w:asciiTheme="majorHAnsi" w:hAnsiTheme="majorHAnsi"/>
        <w:b w:val="0"/>
      </w:rPr>
    </w:tblStylePr>
  </w:style>
  <w:style w:type="character" w:customStyle="1" w:styleId="UnresolvedMention2">
    <w:name w:val="Unresolved Mention2"/>
    <w:basedOn w:val="DefaultParagraphFont"/>
    <w:uiPriority w:val="99"/>
    <w:semiHidden/>
    <w:unhideWhenUsed/>
    <w:rsid w:val="002C2D5C"/>
    <w:rPr>
      <w:color w:val="605E5C"/>
      <w:shd w:val="clear" w:color="auto" w:fill="E1DFDD"/>
    </w:rPr>
  </w:style>
  <w:style w:type="paragraph" w:customStyle="1" w:styleId="Numberedtext">
    <w:name w:val="Numbered text"/>
    <w:basedOn w:val="BodyText"/>
    <w:uiPriority w:val="2"/>
    <w:qFormat/>
    <w:rsid w:val="00B74AE8"/>
    <w:pPr>
      <w:tabs>
        <w:tab w:val="num" w:pos="360"/>
      </w:tabs>
      <w:spacing w:before="0" w:line="240" w:lineRule="atLeast"/>
    </w:pPr>
    <w:rPr>
      <w:rFonts w:asciiTheme="minorHAnsi" w:eastAsiaTheme="minorHAnsi" w:hAnsiTheme="minorHAnsi" w:cstheme="minorBidi"/>
      <w:color w:val="auto"/>
      <w:kern w:val="18"/>
      <w:sz w:val="20"/>
      <w:szCs w:val="18"/>
      <w:lang w:eastAsia="en-US"/>
    </w:rPr>
  </w:style>
  <w:style w:type="numbering" w:customStyle="1" w:styleId="NoList1">
    <w:name w:val="No List1"/>
    <w:next w:val="NoList"/>
    <w:uiPriority w:val="99"/>
    <w:semiHidden/>
    <w:unhideWhenUsed/>
    <w:rsid w:val="00826421"/>
  </w:style>
  <w:style w:type="numbering" w:customStyle="1" w:styleId="AECOMBullets1">
    <w:name w:val="AECOM_Bullets1"/>
    <w:basedOn w:val="NoList"/>
    <w:uiPriority w:val="99"/>
    <w:semiHidden/>
    <w:unhideWhenUsed/>
    <w:rsid w:val="00826421"/>
  </w:style>
  <w:style w:type="numbering" w:customStyle="1" w:styleId="AECOMList1">
    <w:name w:val="AECOM_List1"/>
    <w:basedOn w:val="NoList"/>
    <w:uiPriority w:val="99"/>
    <w:semiHidden/>
    <w:unhideWhenUsed/>
    <w:rsid w:val="00826421"/>
  </w:style>
  <w:style w:type="table" w:customStyle="1" w:styleId="TableGrid40">
    <w:name w:val="Table Grid4"/>
    <w:basedOn w:val="TableNormal"/>
    <w:next w:val="TableGrid"/>
    <w:uiPriority w:val="59"/>
    <w:unhideWhenUsed/>
    <w:rsid w:val="00826421"/>
    <w:rPr>
      <w:sz w:val="1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
    <w:tblStylePr w:type="firstRow">
      <w:rPr>
        <w:rFonts w:asciiTheme="majorHAnsi" w:hAnsiTheme="majorHAnsi"/>
        <w:b w:val="0"/>
      </w:rPr>
    </w:tblStylePr>
  </w:style>
  <w:style w:type="table" w:customStyle="1" w:styleId="AECOMtable2">
    <w:name w:val="AECOM table2"/>
    <w:basedOn w:val="TableNormal"/>
    <w:uiPriority w:val="99"/>
    <w:unhideWhenUsed/>
    <w:rsid w:val="00826421"/>
    <w:rPr>
      <w:sz w:val="16"/>
    </w:rPr>
    <w:tblPr>
      <w:tblInd w:w="0" w:type="dxa"/>
      <w:tblBorders>
        <w:insideH w:val="single" w:sz="4" w:space="0" w:color="auto"/>
      </w:tblBorders>
      <w:tblCellMar>
        <w:top w:w="28" w:type="dxa"/>
        <w:left w:w="0" w:type="dxa"/>
        <w:bottom w:w="28" w:type="dxa"/>
        <w:right w:w="113" w:type="dxa"/>
      </w:tblCellMar>
    </w:tblPr>
    <w:tblStylePr w:type="firstRow">
      <w:rPr>
        <w:rFonts w:asciiTheme="majorHAnsi" w:hAnsiTheme="majorHAnsi"/>
        <w:b/>
        <w:color w:val="00B5E2" w:themeColor="accent1"/>
        <w:sz w:val="16"/>
      </w:rPr>
      <w:tblPr/>
      <w:tcPr>
        <w:tcBorders>
          <w:top w:val="nil"/>
          <w:left w:val="nil"/>
          <w:bottom w:val="single" w:sz="12" w:space="0" w:color="00B5E2" w:themeColor="accent1"/>
          <w:right w:val="nil"/>
          <w:insideH w:val="nil"/>
          <w:insideV w:val="nil"/>
          <w:tl2br w:val="nil"/>
          <w:tr2bl w:val="nil"/>
        </w:tcBorders>
      </w:tcPr>
    </w:tblStylePr>
  </w:style>
  <w:style w:type="table" w:customStyle="1" w:styleId="ColorfulGrid1">
    <w:name w:val="Colorful Grid1"/>
    <w:basedOn w:val="TableNormal"/>
    <w:next w:val="ColorfulGrid"/>
    <w:uiPriority w:val="73"/>
    <w:semiHidden/>
    <w:unhideWhenUsed/>
    <w:rsid w:val="00826421"/>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1">
    <w:name w:val="Colorful Grid - Accent 11"/>
    <w:basedOn w:val="TableNormal"/>
    <w:next w:val="ColorfulGrid-Accent1"/>
    <w:uiPriority w:val="73"/>
    <w:semiHidden/>
    <w:unhideWhenUsed/>
    <w:rsid w:val="00826421"/>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6F3FF" w:themeFill="accent1" w:themeFillTint="33"/>
    </w:tcPr>
    <w:tblStylePr w:type="firstRow">
      <w:rPr>
        <w:b/>
        <w:bCs/>
      </w:rPr>
      <w:tblPr/>
      <w:tcPr>
        <w:shd w:val="clear" w:color="auto" w:fill="8DE8FF" w:themeFill="accent1" w:themeFillTint="66"/>
      </w:tcPr>
    </w:tblStylePr>
    <w:tblStylePr w:type="lastRow">
      <w:rPr>
        <w:b/>
        <w:bCs/>
        <w:color w:val="000000" w:themeColor="text1"/>
      </w:rPr>
      <w:tblPr/>
      <w:tcPr>
        <w:shd w:val="clear" w:color="auto" w:fill="8DE8FF" w:themeFill="accent1" w:themeFillTint="66"/>
      </w:tcPr>
    </w:tblStylePr>
    <w:tblStylePr w:type="firstCol">
      <w:rPr>
        <w:color w:val="FFFFFF" w:themeColor="background1"/>
      </w:rPr>
      <w:tblPr/>
      <w:tcPr>
        <w:shd w:val="clear" w:color="auto" w:fill="0087A9" w:themeFill="accent1" w:themeFillShade="BF"/>
      </w:tcPr>
    </w:tblStylePr>
    <w:tblStylePr w:type="lastCol">
      <w:rPr>
        <w:color w:val="FFFFFF" w:themeColor="background1"/>
      </w:rPr>
      <w:tblPr/>
      <w:tcPr>
        <w:shd w:val="clear" w:color="auto" w:fill="0087A9" w:themeFill="accent1" w:themeFillShade="BF"/>
      </w:tcPr>
    </w:tblStylePr>
    <w:tblStylePr w:type="band1Vert">
      <w:tblPr/>
      <w:tcPr>
        <w:shd w:val="clear" w:color="auto" w:fill="71E2FF" w:themeFill="accent1" w:themeFillTint="7F"/>
      </w:tcPr>
    </w:tblStylePr>
    <w:tblStylePr w:type="band1Horz">
      <w:tblPr/>
      <w:tcPr>
        <w:shd w:val="clear" w:color="auto" w:fill="71E2FF" w:themeFill="accent1" w:themeFillTint="7F"/>
      </w:tcPr>
    </w:tblStylePr>
  </w:style>
  <w:style w:type="table" w:customStyle="1" w:styleId="ColorfulGrid-Accent21">
    <w:name w:val="Colorful Grid - Accent 21"/>
    <w:basedOn w:val="TableNormal"/>
    <w:next w:val="ColorfulGrid-Accent2"/>
    <w:uiPriority w:val="73"/>
    <w:semiHidden/>
    <w:unhideWhenUsed/>
    <w:rsid w:val="00826421"/>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BFFBE" w:themeFill="accent2" w:themeFillTint="33"/>
    </w:tcPr>
    <w:tblStylePr w:type="firstRow">
      <w:rPr>
        <w:b/>
        <w:bCs/>
      </w:rPr>
      <w:tblPr/>
      <w:tcPr>
        <w:shd w:val="clear" w:color="auto" w:fill="D8FF7E" w:themeFill="accent2" w:themeFillTint="66"/>
      </w:tcPr>
    </w:tblStylePr>
    <w:tblStylePr w:type="lastRow">
      <w:rPr>
        <w:b/>
        <w:bCs/>
        <w:color w:val="000000" w:themeColor="text1"/>
      </w:rPr>
      <w:tblPr/>
      <w:tcPr>
        <w:shd w:val="clear" w:color="auto" w:fill="D8FF7E" w:themeFill="accent2" w:themeFillTint="66"/>
      </w:tcPr>
    </w:tblStylePr>
    <w:tblStylePr w:type="firstCol">
      <w:rPr>
        <w:color w:val="FFFFFF" w:themeColor="background1"/>
      </w:rPr>
      <w:tblPr/>
      <w:tcPr>
        <w:shd w:val="clear" w:color="auto" w:fill="628D00" w:themeFill="accent2" w:themeFillShade="BF"/>
      </w:tcPr>
    </w:tblStylePr>
    <w:tblStylePr w:type="lastCol">
      <w:rPr>
        <w:color w:val="FFFFFF" w:themeColor="background1"/>
      </w:rPr>
      <w:tblPr/>
      <w:tcPr>
        <w:shd w:val="clear" w:color="auto" w:fill="628D00" w:themeFill="accent2" w:themeFillShade="BF"/>
      </w:tcPr>
    </w:tblStylePr>
    <w:tblStylePr w:type="band1Vert">
      <w:tblPr/>
      <w:tcPr>
        <w:shd w:val="clear" w:color="auto" w:fill="CEFF5F" w:themeFill="accent2" w:themeFillTint="7F"/>
      </w:tcPr>
    </w:tblStylePr>
    <w:tblStylePr w:type="band1Horz">
      <w:tblPr/>
      <w:tcPr>
        <w:shd w:val="clear" w:color="auto" w:fill="CEFF5F" w:themeFill="accent2" w:themeFillTint="7F"/>
      </w:tcPr>
    </w:tblStylePr>
  </w:style>
  <w:style w:type="table" w:customStyle="1" w:styleId="ColorfulGrid-Accent31">
    <w:name w:val="Colorful Grid - Accent 31"/>
    <w:basedOn w:val="TableNormal"/>
    <w:next w:val="ColorfulGrid-Accent3"/>
    <w:uiPriority w:val="73"/>
    <w:semiHidden/>
    <w:unhideWhenUsed/>
    <w:rsid w:val="00826421"/>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7D2" w:themeFill="accent3" w:themeFillTint="33"/>
    </w:tcPr>
    <w:tblStylePr w:type="firstRow">
      <w:rPr>
        <w:b/>
        <w:bCs/>
      </w:rPr>
      <w:tblPr/>
      <w:tcPr>
        <w:shd w:val="clear" w:color="auto" w:fill="FBD0A5" w:themeFill="accent3" w:themeFillTint="66"/>
      </w:tcPr>
    </w:tblStylePr>
    <w:tblStylePr w:type="lastRow">
      <w:rPr>
        <w:b/>
        <w:bCs/>
        <w:color w:val="000000" w:themeColor="text1"/>
      </w:rPr>
      <w:tblPr/>
      <w:tcPr>
        <w:shd w:val="clear" w:color="auto" w:fill="FBD0A5" w:themeFill="accent3" w:themeFillTint="66"/>
      </w:tcPr>
    </w:tblStylePr>
    <w:tblStylePr w:type="firstCol">
      <w:rPr>
        <w:color w:val="FFFFFF" w:themeColor="background1"/>
      </w:rPr>
      <w:tblPr/>
      <w:tcPr>
        <w:shd w:val="clear" w:color="auto" w:fill="C76808" w:themeFill="accent3" w:themeFillShade="BF"/>
      </w:tcPr>
    </w:tblStylePr>
    <w:tblStylePr w:type="lastCol">
      <w:rPr>
        <w:color w:val="FFFFFF" w:themeColor="background1"/>
      </w:rPr>
      <w:tblPr/>
      <w:tcPr>
        <w:shd w:val="clear" w:color="auto" w:fill="C76808" w:themeFill="accent3" w:themeFillShade="BF"/>
      </w:tcPr>
    </w:tblStylePr>
    <w:tblStylePr w:type="band1Vert">
      <w:tblPr/>
      <w:tcPr>
        <w:shd w:val="clear" w:color="auto" w:fill="FAC58F" w:themeFill="accent3" w:themeFillTint="7F"/>
      </w:tcPr>
    </w:tblStylePr>
    <w:tblStylePr w:type="band1Horz">
      <w:tblPr/>
      <w:tcPr>
        <w:shd w:val="clear" w:color="auto" w:fill="FAC58F" w:themeFill="accent3" w:themeFillTint="7F"/>
      </w:tcPr>
    </w:tblStylePr>
  </w:style>
  <w:style w:type="table" w:customStyle="1" w:styleId="ColorfulGrid-Accent41">
    <w:name w:val="Colorful Grid - Accent 41"/>
    <w:basedOn w:val="TableNormal"/>
    <w:next w:val="ColorfulGrid-Accent4"/>
    <w:uiPriority w:val="73"/>
    <w:semiHidden/>
    <w:unhideWhenUsed/>
    <w:rsid w:val="00826421"/>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FB8F0" w:themeFill="accent4" w:themeFillTint="33"/>
    </w:tcPr>
    <w:tblStylePr w:type="firstRow">
      <w:rPr>
        <w:b/>
        <w:bCs/>
      </w:rPr>
      <w:tblPr/>
      <w:tcPr>
        <w:shd w:val="clear" w:color="auto" w:fill="FF72E2" w:themeFill="accent4" w:themeFillTint="66"/>
      </w:tcPr>
    </w:tblStylePr>
    <w:tblStylePr w:type="lastRow">
      <w:rPr>
        <w:b/>
        <w:bCs/>
        <w:color w:val="000000" w:themeColor="text1"/>
      </w:rPr>
      <w:tblPr/>
      <w:tcPr>
        <w:shd w:val="clear" w:color="auto" w:fill="FF72E2" w:themeFill="accent4" w:themeFillTint="66"/>
      </w:tcPr>
    </w:tblStylePr>
    <w:tblStylePr w:type="firstCol">
      <w:rPr>
        <w:color w:val="FFFFFF" w:themeColor="background1"/>
      </w:rPr>
      <w:tblPr/>
      <w:tcPr>
        <w:shd w:val="clear" w:color="auto" w:fill="76005E" w:themeFill="accent4" w:themeFillShade="BF"/>
      </w:tcPr>
    </w:tblStylePr>
    <w:tblStylePr w:type="lastCol">
      <w:rPr>
        <w:color w:val="FFFFFF" w:themeColor="background1"/>
      </w:rPr>
      <w:tblPr/>
      <w:tcPr>
        <w:shd w:val="clear" w:color="auto" w:fill="76005E" w:themeFill="accent4" w:themeFillShade="BF"/>
      </w:tcPr>
    </w:tblStylePr>
    <w:tblStylePr w:type="band1Vert">
      <w:tblPr/>
      <w:tcPr>
        <w:shd w:val="clear" w:color="auto" w:fill="FF4FDB" w:themeFill="accent4" w:themeFillTint="7F"/>
      </w:tcPr>
    </w:tblStylePr>
    <w:tblStylePr w:type="band1Horz">
      <w:tblPr/>
      <w:tcPr>
        <w:shd w:val="clear" w:color="auto" w:fill="FF4FDB" w:themeFill="accent4" w:themeFillTint="7F"/>
      </w:tcPr>
    </w:tblStylePr>
  </w:style>
  <w:style w:type="table" w:customStyle="1" w:styleId="ColorfulGrid-Accent51">
    <w:name w:val="Colorful Grid - Accent 51"/>
    <w:basedOn w:val="TableNormal"/>
    <w:next w:val="ColorfulGrid-Accent5"/>
    <w:uiPriority w:val="73"/>
    <w:semiHidden/>
    <w:unhideWhenUsed/>
    <w:rsid w:val="00826421"/>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FF9CF" w:themeFill="accent5" w:themeFillTint="33"/>
    </w:tcPr>
    <w:tblStylePr w:type="firstRow">
      <w:rPr>
        <w:b/>
        <w:bCs/>
      </w:rPr>
      <w:tblPr/>
      <w:tcPr>
        <w:shd w:val="clear" w:color="auto" w:fill="FFF4A0" w:themeFill="accent5" w:themeFillTint="66"/>
      </w:tcPr>
    </w:tblStylePr>
    <w:tblStylePr w:type="lastRow">
      <w:rPr>
        <w:b/>
        <w:bCs/>
        <w:color w:val="000000" w:themeColor="text1"/>
      </w:rPr>
      <w:tblPr/>
      <w:tcPr>
        <w:shd w:val="clear" w:color="auto" w:fill="FFF4A0" w:themeFill="accent5" w:themeFillTint="66"/>
      </w:tcPr>
    </w:tblStylePr>
    <w:tblStylePr w:type="firstCol">
      <w:rPr>
        <w:color w:val="FFFFFF" w:themeColor="background1"/>
      </w:rPr>
      <w:tblPr/>
      <w:tcPr>
        <w:shd w:val="clear" w:color="auto" w:fill="CCB500" w:themeFill="accent5" w:themeFillShade="BF"/>
      </w:tcPr>
    </w:tblStylePr>
    <w:tblStylePr w:type="lastCol">
      <w:rPr>
        <w:color w:val="FFFFFF" w:themeColor="background1"/>
      </w:rPr>
      <w:tblPr/>
      <w:tcPr>
        <w:shd w:val="clear" w:color="auto" w:fill="CCB500" w:themeFill="accent5" w:themeFillShade="BF"/>
      </w:tcPr>
    </w:tblStylePr>
    <w:tblStylePr w:type="band1Vert">
      <w:tblPr/>
      <w:tcPr>
        <w:shd w:val="clear" w:color="auto" w:fill="FFF288" w:themeFill="accent5" w:themeFillTint="7F"/>
      </w:tcPr>
    </w:tblStylePr>
    <w:tblStylePr w:type="band1Horz">
      <w:tblPr/>
      <w:tcPr>
        <w:shd w:val="clear" w:color="auto" w:fill="FFF288" w:themeFill="accent5" w:themeFillTint="7F"/>
      </w:tcPr>
    </w:tblStylePr>
  </w:style>
  <w:style w:type="table" w:customStyle="1" w:styleId="ColorfulGrid-Accent61">
    <w:name w:val="Colorful Grid - Accent 61"/>
    <w:basedOn w:val="TableNormal"/>
    <w:next w:val="ColorfulGrid-Accent6"/>
    <w:uiPriority w:val="73"/>
    <w:semiHidden/>
    <w:unhideWhenUsed/>
    <w:rsid w:val="00826421"/>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8E5E4" w:themeFill="accent6" w:themeFillTint="33"/>
    </w:tcPr>
    <w:tblStylePr w:type="firstRow">
      <w:rPr>
        <w:b/>
        <w:bCs/>
      </w:rPr>
      <w:tblPr/>
      <w:tcPr>
        <w:shd w:val="clear" w:color="auto" w:fill="D1CCC9" w:themeFill="accent6" w:themeFillTint="66"/>
      </w:tcPr>
    </w:tblStylePr>
    <w:tblStylePr w:type="lastRow">
      <w:rPr>
        <w:b/>
        <w:bCs/>
        <w:color w:val="000000" w:themeColor="text1"/>
      </w:rPr>
      <w:tblPr/>
      <w:tcPr>
        <w:shd w:val="clear" w:color="auto" w:fill="D1CCC9" w:themeFill="accent6" w:themeFillTint="66"/>
      </w:tcPr>
    </w:tblStylePr>
    <w:tblStylePr w:type="firstCol">
      <w:rPr>
        <w:color w:val="FFFFFF" w:themeColor="background1"/>
      </w:rPr>
      <w:tblPr/>
      <w:tcPr>
        <w:shd w:val="clear" w:color="auto" w:fill="69615A" w:themeFill="accent6" w:themeFillShade="BF"/>
      </w:tcPr>
    </w:tblStylePr>
    <w:tblStylePr w:type="lastCol">
      <w:rPr>
        <w:color w:val="FFFFFF" w:themeColor="background1"/>
      </w:rPr>
      <w:tblPr/>
      <w:tcPr>
        <w:shd w:val="clear" w:color="auto" w:fill="69615A" w:themeFill="accent6" w:themeFillShade="BF"/>
      </w:tcPr>
    </w:tblStylePr>
    <w:tblStylePr w:type="band1Vert">
      <w:tblPr/>
      <w:tcPr>
        <w:shd w:val="clear" w:color="auto" w:fill="C5C0BC" w:themeFill="accent6" w:themeFillTint="7F"/>
      </w:tcPr>
    </w:tblStylePr>
    <w:tblStylePr w:type="band1Horz">
      <w:tblPr/>
      <w:tcPr>
        <w:shd w:val="clear" w:color="auto" w:fill="C5C0BC" w:themeFill="accent6" w:themeFillTint="7F"/>
      </w:tcPr>
    </w:tblStylePr>
  </w:style>
  <w:style w:type="table" w:customStyle="1" w:styleId="ColorfulList1">
    <w:name w:val="Colorful List1"/>
    <w:basedOn w:val="TableNormal"/>
    <w:next w:val="ColorfulList"/>
    <w:uiPriority w:val="72"/>
    <w:semiHidden/>
    <w:unhideWhenUsed/>
    <w:rsid w:val="00826421"/>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699700" w:themeFill="accent2" w:themeFillShade="CC"/>
      </w:tcPr>
    </w:tblStylePr>
    <w:tblStylePr w:type="lastRow">
      <w:rPr>
        <w:b/>
        <w:bCs/>
        <w:color w:val="6997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1">
    <w:name w:val="Colorful List - Accent 11"/>
    <w:basedOn w:val="TableNormal"/>
    <w:next w:val="ColorfulList-Accent1"/>
    <w:uiPriority w:val="72"/>
    <w:semiHidden/>
    <w:unhideWhenUsed/>
    <w:rsid w:val="00826421"/>
    <w:rPr>
      <w:color w:val="000000" w:themeColor="text1"/>
    </w:rPr>
    <w:tblPr>
      <w:tblStyleRowBandSize w:val="1"/>
      <w:tblStyleColBandSize w:val="1"/>
      <w:tblInd w:w="0" w:type="dxa"/>
      <w:tblCellMar>
        <w:top w:w="0" w:type="dxa"/>
        <w:left w:w="108" w:type="dxa"/>
        <w:bottom w:w="0" w:type="dxa"/>
        <w:right w:w="108" w:type="dxa"/>
      </w:tblCellMar>
    </w:tblPr>
    <w:tcPr>
      <w:shd w:val="clear" w:color="auto" w:fill="E3F9FF" w:themeFill="accent1" w:themeFillTint="19"/>
    </w:tcPr>
    <w:tblStylePr w:type="firstRow">
      <w:rPr>
        <w:b/>
        <w:bCs/>
        <w:color w:val="FFFFFF" w:themeColor="background1"/>
      </w:rPr>
      <w:tblPr/>
      <w:tcPr>
        <w:tcBorders>
          <w:bottom w:val="single" w:sz="12" w:space="0" w:color="FFFFFF" w:themeColor="background1"/>
        </w:tcBorders>
        <w:shd w:val="clear" w:color="auto" w:fill="699700" w:themeFill="accent2" w:themeFillShade="CC"/>
      </w:tcPr>
    </w:tblStylePr>
    <w:tblStylePr w:type="lastRow">
      <w:rPr>
        <w:b/>
        <w:bCs/>
        <w:color w:val="6997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8F0FF" w:themeFill="accent1" w:themeFillTint="3F"/>
      </w:tcPr>
    </w:tblStylePr>
    <w:tblStylePr w:type="band1Horz">
      <w:tblPr/>
      <w:tcPr>
        <w:shd w:val="clear" w:color="auto" w:fill="C6F3FF" w:themeFill="accent1" w:themeFillTint="33"/>
      </w:tcPr>
    </w:tblStylePr>
  </w:style>
  <w:style w:type="table" w:customStyle="1" w:styleId="ColorfulList-Accent21">
    <w:name w:val="Colorful List - Accent 21"/>
    <w:basedOn w:val="TableNormal"/>
    <w:next w:val="ColorfulList-Accent2"/>
    <w:uiPriority w:val="72"/>
    <w:semiHidden/>
    <w:unhideWhenUsed/>
    <w:rsid w:val="00826421"/>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FDF" w:themeFill="accent2" w:themeFillTint="19"/>
    </w:tcPr>
    <w:tblStylePr w:type="firstRow">
      <w:rPr>
        <w:b/>
        <w:bCs/>
        <w:color w:val="FFFFFF" w:themeColor="background1"/>
      </w:rPr>
      <w:tblPr/>
      <w:tcPr>
        <w:tcBorders>
          <w:bottom w:val="single" w:sz="12" w:space="0" w:color="FFFFFF" w:themeColor="background1"/>
        </w:tcBorders>
        <w:shd w:val="clear" w:color="auto" w:fill="699700" w:themeFill="accent2" w:themeFillShade="CC"/>
      </w:tcPr>
    </w:tblStylePr>
    <w:tblStylePr w:type="lastRow">
      <w:rPr>
        <w:b/>
        <w:bCs/>
        <w:color w:val="6997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FFAF" w:themeFill="accent2" w:themeFillTint="3F"/>
      </w:tcPr>
    </w:tblStylePr>
    <w:tblStylePr w:type="band1Horz">
      <w:tblPr/>
      <w:tcPr>
        <w:shd w:val="clear" w:color="auto" w:fill="EBFFBE" w:themeFill="accent2" w:themeFillTint="33"/>
      </w:tcPr>
    </w:tblStylePr>
  </w:style>
  <w:style w:type="table" w:customStyle="1" w:styleId="ColorfulList-Accent31">
    <w:name w:val="Colorful List - Accent 31"/>
    <w:basedOn w:val="TableNormal"/>
    <w:next w:val="ColorfulList-Accent3"/>
    <w:uiPriority w:val="72"/>
    <w:semiHidden/>
    <w:unhideWhenUsed/>
    <w:rsid w:val="00826421"/>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3E8" w:themeFill="accent3" w:themeFillTint="19"/>
    </w:tcPr>
    <w:tblStylePr w:type="firstRow">
      <w:rPr>
        <w:b/>
        <w:bCs/>
        <w:color w:val="FFFFFF" w:themeColor="background1"/>
      </w:rPr>
      <w:tblPr/>
      <w:tcPr>
        <w:tcBorders>
          <w:bottom w:val="single" w:sz="12" w:space="0" w:color="FFFFFF" w:themeColor="background1"/>
        </w:tcBorders>
        <w:shd w:val="clear" w:color="auto" w:fill="7E0064" w:themeFill="accent4" w:themeFillShade="CC"/>
      </w:tcPr>
    </w:tblStylePr>
    <w:tblStylePr w:type="lastRow">
      <w:rPr>
        <w:b/>
        <w:bCs/>
        <w:color w:val="7E0064"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2C7" w:themeFill="accent3" w:themeFillTint="3F"/>
      </w:tcPr>
    </w:tblStylePr>
    <w:tblStylePr w:type="band1Horz">
      <w:tblPr/>
      <w:tcPr>
        <w:shd w:val="clear" w:color="auto" w:fill="FDE7D2" w:themeFill="accent3" w:themeFillTint="33"/>
      </w:tcPr>
    </w:tblStylePr>
  </w:style>
  <w:style w:type="table" w:customStyle="1" w:styleId="ColorfulList-Accent41">
    <w:name w:val="Colorful List - Accent 41"/>
    <w:basedOn w:val="TableNormal"/>
    <w:next w:val="ColorfulList-Accent4"/>
    <w:uiPriority w:val="72"/>
    <w:semiHidden/>
    <w:unhideWhenUsed/>
    <w:rsid w:val="00826421"/>
    <w:rPr>
      <w:color w:val="000000" w:themeColor="text1"/>
    </w:rPr>
    <w:tblPr>
      <w:tblStyleRowBandSize w:val="1"/>
      <w:tblStyleColBandSize w:val="1"/>
      <w:tblInd w:w="0" w:type="dxa"/>
      <w:tblCellMar>
        <w:top w:w="0" w:type="dxa"/>
        <w:left w:w="108" w:type="dxa"/>
        <w:bottom w:w="0" w:type="dxa"/>
        <w:right w:w="108" w:type="dxa"/>
      </w:tblCellMar>
    </w:tblPr>
    <w:tcPr>
      <w:shd w:val="clear" w:color="auto" w:fill="FFDCF7" w:themeFill="accent4" w:themeFillTint="19"/>
    </w:tcPr>
    <w:tblStylePr w:type="firstRow">
      <w:rPr>
        <w:b/>
        <w:bCs/>
        <w:color w:val="FFFFFF" w:themeColor="background1"/>
      </w:rPr>
      <w:tblPr/>
      <w:tcPr>
        <w:tcBorders>
          <w:bottom w:val="single" w:sz="12" w:space="0" w:color="FFFFFF" w:themeColor="background1"/>
        </w:tcBorders>
        <w:shd w:val="clear" w:color="auto" w:fill="D46F08" w:themeFill="accent3" w:themeFillShade="CC"/>
      </w:tcPr>
    </w:tblStylePr>
    <w:tblStylePr w:type="lastRow">
      <w:rPr>
        <w:b/>
        <w:bCs/>
        <w:color w:val="D46F0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A8ED" w:themeFill="accent4" w:themeFillTint="3F"/>
      </w:tcPr>
    </w:tblStylePr>
    <w:tblStylePr w:type="band1Horz">
      <w:tblPr/>
      <w:tcPr>
        <w:shd w:val="clear" w:color="auto" w:fill="FFB8F0" w:themeFill="accent4" w:themeFillTint="33"/>
      </w:tcPr>
    </w:tblStylePr>
  </w:style>
  <w:style w:type="table" w:customStyle="1" w:styleId="ColorfulList-Accent51">
    <w:name w:val="Colorful List - Accent 51"/>
    <w:basedOn w:val="TableNormal"/>
    <w:next w:val="ColorfulList-Accent5"/>
    <w:uiPriority w:val="72"/>
    <w:semiHidden/>
    <w:unhideWhenUsed/>
    <w:rsid w:val="00826421"/>
    <w:rPr>
      <w:color w:val="000000" w:themeColor="text1"/>
    </w:rPr>
    <w:tblPr>
      <w:tblStyleRowBandSize w:val="1"/>
      <w:tblStyleColBandSize w:val="1"/>
      <w:tblInd w:w="0" w:type="dxa"/>
      <w:tblCellMar>
        <w:top w:w="0" w:type="dxa"/>
        <w:left w:w="108" w:type="dxa"/>
        <w:bottom w:w="0" w:type="dxa"/>
        <w:right w:w="108" w:type="dxa"/>
      </w:tblCellMar>
    </w:tblPr>
    <w:tcPr>
      <w:shd w:val="clear" w:color="auto" w:fill="FFFCE7" w:themeFill="accent5" w:themeFillTint="19"/>
    </w:tcPr>
    <w:tblStylePr w:type="firstRow">
      <w:rPr>
        <w:b/>
        <w:bCs/>
        <w:color w:val="FFFFFF" w:themeColor="background1"/>
      </w:rPr>
      <w:tblPr/>
      <w:tcPr>
        <w:tcBorders>
          <w:bottom w:val="single" w:sz="12" w:space="0" w:color="FFFFFF" w:themeColor="background1"/>
        </w:tcBorders>
        <w:shd w:val="clear" w:color="auto" w:fill="706760" w:themeFill="accent6" w:themeFillShade="CC"/>
      </w:tcPr>
    </w:tblStylePr>
    <w:tblStylePr w:type="lastRow">
      <w:rPr>
        <w:b/>
        <w:bCs/>
        <w:color w:val="70676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8C4" w:themeFill="accent5" w:themeFillTint="3F"/>
      </w:tcPr>
    </w:tblStylePr>
    <w:tblStylePr w:type="band1Horz">
      <w:tblPr/>
      <w:tcPr>
        <w:shd w:val="clear" w:color="auto" w:fill="FFF9CF" w:themeFill="accent5" w:themeFillTint="33"/>
      </w:tcPr>
    </w:tblStylePr>
  </w:style>
  <w:style w:type="table" w:customStyle="1" w:styleId="ColorfulList-Accent61">
    <w:name w:val="Colorful List - Accent 61"/>
    <w:basedOn w:val="TableNormal"/>
    <w:next w:val="ColorfulList-Accent6"/>
    <w:uiPriority w:val="72"/>
    <w:semiHidden/>
    <w:unhideWhenUsed/>
    <w:rsid w:val="00826421"/>
    <w:rPr>
      <w:color w:val="000000" w:themeColor="text1"/>
    </w:rPr>
    <w:tblPr>
      <w:tblStyleRowBandSize w:val="1"/>
      <w:tblStyleColBandSize w:val="1"/>
      <w:tblInd w:w="0" w:type="dxa"/>
      <w:tblCellMar>
        <w:top w:w="0" w:type="dxa"/>
        <w:left w:w="108" w:type="dxa"/>
        <w:bottom w:w="0" w:type="dxa"/>
        <w:right w:w="108" w:type="dxa"/>
      </w:tblCellMar>
    </w:tblPr>
    <w:tcPr>
      <w:shd w:val="clear" w:color="auto" w:fill="F3F2F1" w:themeFill="accent6" w:themeFillTint="19"/>
    </w:tcPr>
    <w:tblStylePr w:type="firstRow">
      <w:rPr>
        <w:b/>
        <w:bCs/>
        <w:color w:val="FFFFFF" w:themeColor="background1"/>
      </w:rPr>
      <w:tblPr/>
      <w:tcPr>
        <w:tcBorders>
          <w:bottom w:val="single" w:sz="12" w:space="0" w:color="FFFFFF" w:themeColor="background1"/>
        </w:tcBorders>
        <w:shd w:val="clear" w:color="auto" w:fill="DAC200" w:themeFill="accent5" w:themeFillShade="CC"/>
      </w:tcPr>
    </w:tblStylePr>
    <w:tblStylePr w:type="lastRow">
      <w:rPr>
        <w:b/>
        <w:bCs/>
        <w:color w:val="DAC2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E0DD" w:themeFill="accent6" w:themeFillTint="3F"/>
      </w:tcPr>
    </w:tblStylePr>
    <w:tblStylePr w:type="band1Horz">
      <w:tblPr/>
      <w:tcPr>
        <w:shd w:val="clear" w:color="auto" w:fill="E8E5E4" w:themeFill="accent6" w:themeFillTint="33"/>
      </w:tcPr>
    </w:tblStylePr>
  </w:style>
  <w:style w:type="table" w:customStyle="1" w:styleId="ColorfulShading1">
    <w:name w:val="Colorful Shading1"/>
    <w:basedOn w:val="TableNormal"/>
    <w:next w:val="ColorfulShading"/>
    <w:uiPriority w:val="71"/>
    <w:semiHidden/>
    <w:unhideWhenUsed/>
    <w:rsid w:val="00826421"/>
    <w:rPr>
      <w:color w:val="000000" w:themeColor="text1"/>
    </w:rPr>
    <w:tblPr>
      <w:tblStyleRowBandSize w:val="1"/>
      <w:tblStyleColBandSize w:val="1"/>
      <w:tblInd w:w="0" w:type="dxa"/>
      <w:tblBorders>
        <w:top w:val="single" w:sz="24" w:space="0" w:color="84BD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84BD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1">
    <w:name w:val="Colorful Shading - Accent 11"/>
    <w:basedOn w:val="TableNormal"/>
    <w:next w:val="ColorfulShading-Accent1"/>
    <w:uiPriority w:val="71"/>
    <w:semiHidden/>
    <w:unhideWhenUsed/>
    <w:rsid w:val="00826421"/>
    <w:rPr>
      <w:color w:val="000000" w:themeColor="text1"/>
    </w:rPr>
    <w:tblPr>
      <w:tblStyleRowBandSize w:val="1"/>
      <w:tblStyleColBandSize w:val="1"/>
      <w:tblInd w:w="0" w:type="dxa"/>
      <w:tblBorders>
        <w:top w:val="single" w:sz="24" w:space="0" w:color="84BD00" w:themeColor="accent2"/>
        <w:left w:val="single" w:sz="4" w:space="0" w:color="00B5E2" w:themeColor="accent1"/>
        <w:bottom w:val="single" w:sz="4" w:space="0" w:color="00B5E2" w:themeColor="accent1"/>
        <w:right w:val="single" w:sz="4" w:space="0" w:color="00B5E2"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3F9FF" w:themeFill="accent1" w:themeFillTint="19"/>
    </w:tcPr>
    <w:tblStylePr w:type="firstRow">
      <w:rPr>
        <w:b/>
        <w:bCs/>
      </w:rPr>
      <w:tblPr/>
      <w:tcPr>
        <w:tcBorders>
          <w:top w:val="nil"/>
          <w:left w:val="nil"/>
          <w:bottom w:val="single" w:sz="24" w:space="0" w:color="84BD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C87" w:themeFill="accent1" w:themeFillShade="99"/>
      </w:tcPr>
    </w:tblStylePr>
    <w:tblStylePr w:type="firstCol">
      <w:rPr>
        <w:color w:val="FFFFFF" w:themeColor="background1"/>
      </w:rPr>
      <w:tblPr/>
      <w:tcPr>
        <w:tcBorders>
          <w:top w:val="nil"/>
          <w:left w:val="nil"/>
          <w:bottom w:val="nil"/>
          <w:right w:val="nil"/>
          <w:insideH w:val="single" w:sz="4" w:space="0" w:color="006C87" w:themeColor="accent1" w:themeShade="99"/>
          <w:insideV w:val="nil"/>
        </w:tcBorders>
        <w:shd w:val="clear" w:color="auto" w:fill="006C87"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6C87" w:themeFill="accent1" w:themeFillShade="99"/>
      </w:tcPr>
    </w:tblStylePr>
    <w:tblStylePr w:type="band1Vert">
      <w:tblPr/>
      <w:tcPr>
        <w:shd w:val="clear" w:color="auto" w:fill="8DE8FF" w:themeFill="accent1" w:themeFillTint="66"/>
      </w:tcPr>
    </w:tblStylePr>
    <w:tblStylePr w:type="band1Horz">
      <w:tblPr/>
      <w:tcPr>
        <w:shd w:val="clear" w:color="auto" w:fill="71E2FF"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1">
    <w:name w:val="Colorful Shading - Accent 21"/>
    <w:basedOn w:val="TableNormal"/>
    <w:next w:val="ColorfulShading-Accent2"/>
    <w:uiPriority w:val="71"/>
    <w:semiHidden/>
    <w:unhideWhenUsed/>
    <w:rsid w:val="00826421"/>
    <w:rPr>
      <w:color w:val="000000" w:themeColor="text1"/>
    </w:rPr>
    <w:tblPr>
      <w:tblStyleRowBandSize w:val="1"/>
      <w:tblStyleColBandSize w:val="1"/>
      <w:tblInd w:w="0" w:type="dxa"/>
      <w:tblBorders>
        <w:top w:val="single" w:sz="24" w:space="0" w:color="84BD00" w:themeColor="accent2"/>
        <w:left w:val="single" w:sz="4" w:space="0" w:color="84BD00" w:themeColor="accent2"/>
        <w:bottom w:val="single" w:sz="4" w:space="0" w:color="84BD00" w:themeColor="accent2"/>
        <w:right w:val="single" w:sz="4" w:space="0" w:color="84BD00"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FDF" w:themeFill="accent2" w:themeFillTint="19"/>
    </w:tcPr>
    <w:tblStylePr w:type="firstRow">
      <w:rPr>
        <w:b/>
        <w:bCs/>
      </w:rPr>
      <w:tblPr/>
      <w:tcPr>
        <w:tcBorders>
          <w:top w:val="nil"/>
          <w:left w:val="nil"/>
          <w:bottom w:val="single" w:sz="24" w:space="0" w:color="84BD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F7100" w:themeFill="accent2" w:themeFillShade="99"/>
      </w:tcPr>
    </w:tblStylePr>
    <w:tblStylePr w:type="firstCol">
      <w:rPr>
        <w:color w:val="FFFFFF" w:themeColor="background1"/>
      </w:rPr>
      <w:tblPr/>
      <w:tcPr>
        <w:tcBorders>
          <w:top w:val="nil"/>
          <w:left w:val="nil"/>
          <w:bottom w:val="nil"/>
          <w:right w:val="nil"/>
          <w:insideH w:val="single" w:sz="4" w:space="0" w:color="4F7100" w:themeColor="accent2" w:themeShade="99"/>
          <w:insideV w:val="nil"/>
        </w:tcBorders>
        <w:shd w:val="clear" w:color="auto" w:fill="4F71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F7100" w:themeFill="accent2" w:themeFillShade="99"/>
      </w:tcPr>
    </w:tblStylePr>
    <w:tblStylePr w:type="band1Vert">
      <w:tblPr/>
      <w:tcPr>
        <w:shd w:val="clear" w:color="auto" w:fill="D8FF7E" w:themeFill="accent2" w:themeFillTint="66"/>
      </w:tcPr>
    </w:tblStylePr>
    <w:tblStylePr w:type="band1Horz">
      <w:tblPr/>
      <w:tcPr>
        <w:shd w:val="clear" w:color="auto" w:fill="CEFF5F"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1">
    <w:name w:val="Colorful Shading - Accent 31"/>
    <w:basedOn w:val="TableNormal"/>
    <w:next w:val="ColorfulShading-Accent3"/>
    <w:uiPriority w:val="71"/>
    <w:semiHidden/>
    <w:unhideWhenUsed/>
    <w:rsid w:val="00826421"/>
    <w:rPr>
      <w:color w:val="000000" w:themeColor="text1"/>
    </w:rPr>
    <w:tblPr>
      <w:tblStyleRowBandSize w:val="1"/>
      <w:tblStyleColBandSize w:val="1"/>
      <w:tblInd w:w="0" w:type="dxa"/>
      <w:tblBorders>
        <w:top w:val="single" w:sz="24" w:space="0" w:color="9E007E" w:themeColor="accent4"/>
        <w:left w:val="single" w:sz="4" w:space="0" w:color="F68B1F" w:themeColor="accent3"/>
        <w:bottom w:val="single" w:sz="4" w:space="0" w:color="F68B1F" w:themeColor="accent3"/>
        <w:right w:val="single" w:sz="4" w:space="0" w:color="F68B1F"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3E8" w:themeFill="accent3" w:themeFillTint="19"/>
    </w:tcPr>
    <w:tblStylePr w:type="firstRow">
      <w:rPr>
        <w:b/>
        <w:bCs/>
      </w:rPr>
      <w:tblPr/>
      <w:tcPr>
        <w:tcBorders>
          <w:top w:val="nil"/>
          <w:left w:val="nil"/>
          <w:bottom w:val="single" w:sz="24" w:space="0" w:color="9E007E"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F5306" w:themeFill="accent3" w:themeFillShade="99"/>
      </w:tcPr>
    </w:tblStylePr>
    <w:tblStylePr w:type="firstCol">
      <w:rPr>
        <w:color w:val="FFFFFF" w:themeColor="background1"/>
      </w:rPr>
      <w:tblPr/>
      <w:tcPr>
        <w:tcBorders>
          <w:top w:val="nil"/>
          <w:left w:val="nil"/>
          <w:bottom w:val="nil"/>
          <w:right w:val="nil"/>
          <w:insideH w:val="single" w:sz="4" w:space="0" w:color="9F5306" w:themeColor="accent3" w:themeShade="99"/>
          <w:insideV w:val="nil"/>
        </w:tcBorders>
        <w:shd w:val="clear" w:color="auto" w:fill="9F5306"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F5306" w:themeFill="accent3" w:themeFillShade="99"/>
      </w:tcPr>
    </w:tblStylePr>
    <w:tblStylePr w:type="band1Vert">
      <w:tblPr/>
      <w:tcPr>
        <w:shd w:val="clear" w:color="auto" w:fill="FBD0A5" w:themeFill="accent3" w:themeFillTint="66"/>
      </w:tcPr>
    </w:tblStylePr>
    <w:tblStylePr w:type="band1Horz">
      <w:tblPr/>
      <w:tcPr>
        <w:shd w:val="clear" w:color="auto" w:fill="FAC58F" w:themeFill="accent3" w:themeFillTint="7F"/>
      </w:tcPr>
    </w:tblStylePr>
  </w:style>
  <w:style w:type="table" w:customStyle="1" w:styleId="ColorfulShading-Accent41">
    <w:name w:val="Colorful Shading - Accent 41"/>
    <w:basedOn w:val="TableNormal"/>
    <w:next w:val="ColorfulShading-Accent4"/>
    <w:uiPriority w:val="71"/>
    <w:semiHidden/>
    <w:unhideWhenUsed/>
    <w:rsid w:val="00826421"/>
    <w:rPr>
      <w:color w:val="000000" w:themeColor="text1"/>
    </w:rPr>
    <w:tblPr>
      <w:tblStyleRowBandSize w:val="1"/>
      <w:tblStyleColBandSize w:val="1"/>
      <w:tblInd w:w="0" w:type="dxa"/>
      <w:tblBorders>
        <w:top w:val="single" w:sz="24" w:space="0" w:color="F68B1F" w:themeColor="accent3"/>
        <w:left w:val="single" w:sz="4" w:space="0" w:color="9E007E" w:themeColor="accent4"/>
        <w:bottom w:val="single" w:sz="4" w:space="0" w:color="9E007E" w:themeColor="accent4"/>
        <w:right w:val="single" w:sz="4" w:space="0" w:color="9E007E"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DCF7" w:themeFill="accent4" w:themeFillTint="19"/>
    </w:tcPr>
    <w:tblStylePr w:type="firstRow">
      <w:rPr>
        <w:b/>
        <w:bCs/>
      </w:rPr>
      <w:tblPr/>
      <w:tcPr>
        <w:tcBorders>
          <w:top w:val="nil"/>
          <w:left w:val="nil"/>
          <w:bottom w:val="single" w:sz="24" w:space="0" w:color="F68B1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004B" w:themeFill="accent4" w:themeFillShade="99"/>
      </w:tcPr>
    </w:tblStylePr>
    <w:tblStylePr w:type="firstCol">
      <w:rPr>
        <w:color w:val="FFFFFF" w:themeColor="background1"/>
      </w:rPr>
      <w:tblPr/>
      <w:tcPr>
        <w:tcBorders>
          <w:top w:val="nil"/>
          <w:left w:val="nil"/>
          <w:bottom w:val="nil"/>
          <w:right w:val="nil"/>
          <w:insideH w:val="single" w:sz="4" w:space="0" w:color="5E004B" w:themeColor="accent4" w:themeShade="99"/>
          <w:insideV w:val="nil"/>
        </w:tcBorders>
        <w:shd w:val="clear" w:color="auto" w:fill="5E004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E004B" w:themeFill="accent4" w:themeFillShade="99"/>
      </w:tcPr>
    </w:tblStylePr>
    <w:tblStylePr w:type="band1Vert">
      <w:tblPr/>
      <w:tcPr>
        <w:shd w:val="clear" w:color="auto" w:fill="FF72E2" w:themeFill="accent4" w:themeFillTint="66"/>
      </w:tcPr>
    </w:tblStylePr>
    <w:tblStylePr w:type="band1Horz">
      <w:tblPr/>
      <w:tcPr>
        <w:shd w:val="clear" w:color="auto" w:fill="FF4FDB"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1">
    <w:name w:val="Colorful Shading - Accent 51"/>
    <w:basedOn w:val="TableNormal"/>
    <w:next w:val="ColorfulShading-Accent5"/>
    <w:uiPriority w:val="71"/>
    <w:semiHidden/>
    <w:unhideWhenUsed/>
    <w:rsid w:val="00826421"/>
    <w:rPr>
      <w:color w:val="000000" w:themeColor="text1"/>
    </w:rPr>
    <w:tblPr>
      <w:tblStyleRowBandSize w:val="1"/>
      <w:tblStyleColBandSize w:val="1"/>
      <w:tblInd w:w="0" w:type="dxa"/>
      <w:tblBorders>
        <w:top w:val="single" w:sz="24" w:space="0" w:color="8C8279" w:themeColor="accent6"/>
        <w:left w:val="single" w:sz="4" w:space="0" w:color="FFE512" w:themeColor="accent5"/>
        <w:bottom w:val="single" w:sz="4" w:space="0" w:color="FFE512" w:themeColor="accent5"/>
        <w:right w:val="single" w:sz="4" w:space="0" w:color="FFE512"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CE7" w:themeFill="accent5" w:themeFillTint="19"/>
    </w:tcPr>
    <w:tblStylePr w:type="firstRow">
      <w:rPr>
        <w:b/>
        <w:bCs/>
      </w:rPr>
      <w:tblPr/>
      <w:tcPr>
        <w:tcBorders>
          <w:top w:val="nil"/>
          <w:left w:val="nil"/>
          <w:bottom w:val="single" w:sz="24" w:space="0" w:color="8C8279"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39100" w:themeFill="accent5" w:themeFillShade="99"/>
      </w:tcPr>
    </w:tblStylePr>
    <w:tblStylePr w:type="firstCol">
      <w:rPr>
        <w:color w:val="FFFFFF" w:themeColor="background1"/>
      </w:rPr>
      <w:tblPr/>
      <w:tcPr>
        <w:tcBorders>
          <w:top w:val="nil"/>
          <w:left w:val="nil"/>
          <w:bottom w:val="nil"/>
          <w:right w:val="nil"/>
          <w:insideH w:val="single" w:sz="4" w:space="0" w:color="A39100" w:themeColor="accent5" w:themeShade="99"/>
          <w:insideV w:val="nil"/>
        </w:tcBorders>
        <w:shd w:val="clear" w:color="auto" w:fill="A391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A39100" w:themeFill="accent5" w:themeFillShade="99"/>
      </w:tcPr>
    </w:tblStylePr>
    <w:tblStylePr w:type="band1Vert">
      <w:tblPr/>
      <w:tcPr>
        <w:shd w:val="clear" w:color="auto" w:fill="FFF4A0" w:themeFill="accent5" w:themeFillTint="66"/>
      </w:tcPr>
    </w:tblStylePr>
    <w:tblStylePr w:type="band1Horz">
      <w:tblPr/>
      <w:tcPr>
        <w:shd w:val="clear" w:color="auto" w:fill="FFF288"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1">
    <w:name w:val="Colorful Shading - Accent 61"/>
    <w:basedOn w:val="TableNormal"/>
    <w:next w:val="ColorfulShading-Accent6"/>
    <w:uiPriority w:val="71"/>
    <w:semiHidden/>
    <w:unhideWhenUsed/>
    <w:rsid w:val="00826421"/>
    <w:rPr>
      <w:color w:val="000000" w:themeColor="text1"/>
    </w:rPr>
    <w:tblPr>
      <w:tblStyleRowBandSize w:val="1"/>
      <w:tblStyleColBandSize w:val="1"/>
      <w:tblInd w:w="0" w:type="dxa"/>
      <w:tblBorders>
        <w:top w:val="single" w:sz="24" w:space="0" w:color="FFE512" w:themeColor="accent5"/>
        <w:left w:val="single" w:sz="4" w:space="0" w:color="8C8279" w:themeColor="accent6"/>
        <w:bottom w:val="single" w:sz="4" w:space="0" w:color="8C8279" w:themeColor="accent6"/>
        <w:right w:val="single" w:sz="4" w:space="0" w:color="8C8279"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3F2F1" w:themeFill="accent6" w:themeFillTint="19"/>
    </w:tcPr>
    <w:tblStylePr w:type="firstRow">
      <w:rPr>
        <w:b/>
        <w:bCs/>
      </w:rPr>
      <w:tblPr/>
      <w:tcPr>
        <w:tcBorders>
          <w:top w:val="nil"/>
          <w:left w:val="nil"/>
          <w:bottom w:val="single" w:sz="24" w:space="0" w:color="FFE512"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44D48" w:themeFill="accent6" w:themeFillShade="99"/>
      </w:tcPr>
    </w:tblStylePr>
    <w:tblStylePr w:type="firstCol">
      <w:rPr>
        <w:color w:val="FFFFFF" w:themeColor="background1"/>
      </w:rPr>
      <w:tblPr/>
      <w:tcPr>
        <w:tcBorders>
          <w:top w:val="nil"/>
          <w:left w:val="nil"/>
          <w:bottom w:val="nil"/>
          <w:right w:val="nil"/>
          <w:insideH w:val="single" w:sz="4" w:space="0" w:color="544D48" w:themeColor="accent6" w:themeShade="99"/>
          <w:insideV w:val="nil"/>
        </w:tcBorders>
        <w:shd w:val="clear" w:color="auto" w:fill="544D4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44D48" w:themeFill="accent6" w:themeFillShade="99"/>
      </w:tcPr>
    </w:tblStylePr>
    <w:tblStylePr w:type="band1Vert">
      <w:tblPr/>
      <w:tcPr>
        <w:shd w:val="clear" w:color="auto" w:fill="D1CCC9" w:themeFill="accent6" w:themeFillTint="66"/>
      </w:tcPr>
    </w:tblStylePr>
    <w:tblStylePr w:type="band1Horz">
      <w:tblPr/>
      <w:tcPr>
        <w:shd w:val="clear" w:color="auto" w:fill="C5C0BC" w:themeFill="accent6" w:themeFillTint="7F"/>
      </w:tcPr>
    </w:tblStylePr>
    <w:tblStylePr w:type="neCell">
      <w:rPr>
        <w:color w:val="000000" w:themeColor="text1"/>
      </w:rPr>
    </w:tblStylePr>
    <w:tblStylePr w:type="nwCell">
      <w:rPr>
        <w:color w:val="000000" w:themeColor="text1"/>
      </w:rPr>
    </w:tblStylePr>
  </w:style>
  <w:style w:type="table" w:customStyle="1" w:styleId="DarkList1">
    <w:name w:val="Dark List1"/>
    <w:basedOn w:val="TableNormal"/>
    <w:next w:val="DarkList"/>
    <w:uiPriority w:val="70"/>
    <w:semiHidden/>
    <w:unhideWhenUsed/>
    <w:rsid w:val="00826421"/>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1">
    <w:name w:val="Dark List - Accent 11"/>
    <w:basedOn w:val="TableNormal"/>
    <w:next w:val="DarkList-Accent1"/>
    <w:uiPriority w:val="70"/>
    <w:semiHidden/>
    <w:unhideWhenUsed/>
    <w:rsid w:val="00826421"/>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B5E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97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87A9"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87A9" w:themeFill="accent1" w:themeFillShade="BF"/>
      </w:tcPr>
    </w:tblStylePr>
    <w:tblStylePr w:type="band1Vert">
      <w:tblPr/>
      <w:tcPr>
        <w:tcBorders>
          <w:top w:val="nil"/>
          <w:left w:val="nil"/>
          <w:bottom w:val="nil"/>
          <w:right w:val="nil"/>
          <w:insideH w:val="nil"/>
          <w:insideV w:val="nil"/>
        </w:tcBorders>
        <w:shd w:val="clear" w:color="auto" w:fill="0087A9" w:themeFill="accent1" w:themeFillShade="BF"/>
      </w:tcPr>
    </w:tblStylePr>
    <w:tblStylePr w:type="band1Horz">
      <w:tblPr/>
      <w:tcPr>
        <w:tcBorders>
          <w:top w:val="nil"/>
          <w:left w:val="nil"/>
          <w:bottom w:val="nil"/>
          <w:right w:val="nil"/>
          <w:insideH w:val="nil"/>
          <w:insideV w:val="nil"/>
        </w:tcBorders>
        <w:shd w:val="clear" w:color="auto" w:fill="0087A9" w:themeFill="accent1" w:themeFillShade="BF"/>
      </w:tcPr>
    </w:tblStylePr>
  </w:style>
  <w:style w:type="table" w:customStyle="1" w:styleId="DarkList-Accent21">
    <w:name w:val="Dark List - Accent 21"/>
    <w:basedOn w:val="TableNormal"/>
    <w:next w:val="DarkList-Accent2"/>
    <w:uiPriority w:val="70"/>
    <w:semiHidden/>
    <w:unhideWhenUsed/>
    <w:rsid w:val="00826421"/>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4BD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E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628D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628D00" w:themeFill="accent2" w:themeFillShade="BF"/>
      </w:tcPr>
    </w:tblStylePr>
    <w:tblStylePr w:type="band1Vert">
      <w:tblPr/>
      <w:tcPr>
        <w:tcBorders>
          <w:top w:val="nil"/>
          <w:left w:val="nil"/>
          <w:bottom w:val="nil"/>
          <w:right w:val="nil"/>
          <w:insideH w:val="nil"/>
          <w:insideV w:val="nil"/>
        </w:tcBorders>
        <w:shd w:val="clear" w:color="auto" w:fill="628D00" w:themeFill="accent2" w:themeFillShade="BF"/>
      </w:tcPr>
    </w:tblStylePr>
    <w:tblStylePr w:type="band1Horz">
      <w:tblPr/>
      <w:tcPr>
        <w:tcBorders>
          <w:top w:val="nil"/>
          <w:left w:val="nil"/>
          <w:bottom w:val="nil"/>
          <w:right w:val="nil"/>
          <w:insideH w:val="nil"/>
          <w:insideV w:val="nil"/>
        </w:tcBorders>
        <w:shd w:val="clear" w:color="auto" w:fill="628D00" w:themeFill="accent2" w:themeFillShade="BF"/>
      </w:tcPr>
    </w:tblStylePr>
  </w:style>
  <w:style w:type="table" w:customStyle="1" w:styleId="DarkList-Accent31">
    <w:name w:val="Dark List - Accent 31"/>
    <w:basedOn w:val="TableNormal"/>
    <w:next w:val="DarkList-Accent3"/>
    <w:uiPriority w:val="70"/>
    <w:semiHidden/>
    <w:unhideWhenUsed/>
    <w:rsid w:val="00826421"/>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68B1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44505"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C76808"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C76808" w:themeFill="accent3" w:themeFillShade="BF"/>
      </w:tcPr>
    </w:tblStylePr>
    <w:tblStylePr w:type="band1Vert">
      <w:tblPr/>
      <w:tcPr>
        <w:tcBorders>
          <w:top w:val="nil"/>
          <w:left w:val="nil"/>
          <w:bottom w:val="nil"/>
          <w:right w:val="nil"/>
          <w:insideH w:val="nil"/>
          <w:insideV w:val="nil"/>
        </w:tcBorders>
        <w:shd w:val="clear" w:color="auto" w:fill="C76808" w:themeFill="accent3" w:themeFillShade="BF"/>
      </w:tcPr>
    </w:tblStylePr>
    <w:tblStylePr w:type="band1Horz">
      <w:tblPr/>
      <w:tcPr>
        <w:tcBorders>
          <w:top w:val="nil"/>
          <w:left w:val="nil"/>
          <w:bottom w:val="nil"/>
          <w:right w:val="nil"/>
          <w:insideH w:val="nil"/>
          <w:insideV w:val="nil"/>
        </w:tcBorders>
        <w:shd w:val="clear" w:color="auto" w:fill="C76808" w:themeFill="accent3" w:themeFillShade="BF"/>
      </w:tcPr>
    </w:tblStylePr>
  </w:style>
  <w:style w:type="table" w:customStyle="1" w:styleId="DarkList-Accent41">
    <w:name w:val="Dark List - Accent 41"/>
    <w:basedOn w:val="TableNormal"/>
    <w:next w:val="DarkList-Accent4"/>
    <w:uiPriority w:val="70"/>
    <w:semiHidden/>
    <w:unhideWhenUsed/>
    <w:rsid w:val="00826421"/>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E007E"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003E"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76005E"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76005E" w:themeFill="accent4" w:themeFillShade="BF"/>
      </w:tcPr>
    </w:tblStylePr>
    <w:tblStylePr w:type="band1Vert">
      <w:tblPr/>
      <w:tcPr>
        <w:tcBorders>
          <w:top w:val="nil"/>
          <w:left w:val="nil"/>
          <w:bottom w:val="nil"/>
          <w:right w:val="nil"/>
          <w:insideH w:val="nil"/>
          <w:insideV w:val="nil"/>
        </w:tcBorders>
        <w:shd w:val="clear" w:color="auto" w:fill="76005E" w:themeFill="accent4" w:themeFillShade="BF"/>
      </w:tcPr>
    </w:tblStylePr>
    <w:tblStylePr w:type="band1Horz">
      <w:tblPr/>
      <w:tcPr>
        <w:tcBorders>
          <w:top w:val="nil"/>
          <w:left w:val="nil"/>
          <w:bottom w:val="nil"/>
          <w:right w:val="nil"/>
          <w:insideH w:val="nil"/>
          <w:insideV w:val="nil"/>
        </w:tcBorders>
        <w:shd w:val="clear" w:color="auto" w:fill="76005E" w:themeFill="accent4" w:themeFillShade="BF"/>
      </w:tcPr>
    </w:tblStylePr>
  </w:style>
  <w:style w:type="table" w:customStyle="1" w:styleId="DarkList-Accent51">
    <w:name w:val="Dark List - Accent 51"/>
    <w:basedOn w:val="TableNormal"/>
    <w:next w:val="DarkList-Accent5"/>
    <w:uiPriority w:val="70"/>
    <w:semiHidden/>
    <w:unhideWhenUsed/>
    <w:rsid w:val="00826421"/>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FE512"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778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CCB5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CCB500" w:themeFill="accent5" w:themeFillShade="BF"/>
      </w:tcPr>
    </w:tblStylePr>
    <w:tblStylePr w:type="band1Vert">
      <w:tblPr/>
      <w:tcPr>
        <w:tcBorders>
          <w:top w:val="nil"/>
          <w:left w:val="nil"/>
          <w:bottom w:val="nil"/>
          <w:right w:val="nil"/>
          <w:insideH w:val="nil"/>
          <w:insideV w:val="nil"/>
        </w:tcBorders>
        <w:shd w:val="clear" w:color="auto" w:fill="CCB500" w:themeFill="accent5" w:themeFillShade="BF"/>
      </w:tcPr>
    </w:tblStylePr>
    <w:tblStylePr w:type="band1Horz">
      <w:tblPr/>
      <w:tcPr>
        <w:tcBorders>
          <w:top w:val="nil"/>
          <w:left w:val="nil"/>
          <w:bottom w:val="nil"/>
          <w:right w:val="nil"/>
          <w:insideH w:val="nil"/>
          <w:insideV w:val="nil"/>
        </w:tcBorders>
        <w:shd w:val="clear" w:color="auto" w:fill="CCB500" w:themeFill="accent5" w:themeFillShade="BF"/>
      </w:tcPr>
    </w:tblStylePr>
  </w:style>
  <w:style w:type="table" w:customStyle="1" w:styleId="DarkList-Accent61">
    <w:name w:val="Dark List - Accent 61"/>
    <w:basedOn w:val="TableNormal"/>
    <w:next w:val="DarkList-Accent6"/>
    <w:uiPriority w:val="70"/>
    <w:semiHidden/>
    <w:unhideWhenUsed/>
    <w:rsid w:val="00826421"/>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C8279"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5403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9615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9615A" w:themeFill="accent6" w:themeFillShade="BF"/>
      </w:tcPr>
    </w:tblStylePr>
    <w:tblStylePr w:type="band1Vert">
      <w:tblPr/>
      <w:tcPr>
        <w:tcBorders>
          <w:top w:val="nil"/>
          <w:left w:val="nil"/>
          <w:bottom w:val="nil"/>
          <w:right w:val="nil"/>
          <w:insideH w:val="nil"/>
          <w:insideV w:val="nil"/>
        </w:tcBorders>
        <w:shd w:val="clear" w:color="auto" w:fill="69615A" w:themeFill="accent6" w:themeFillShade="BF"/>
      </w:tcPr>
    </w:tblStylePr>
    <w:tblStylePr w:type="band1Horz">
      <w:tblPr/>
      <w:tcPr>
        <w:tcBorders>
          <w:top w:val="nil"/>
          <w:left w:val="nil"/>
          <w:bottom w:val="nil"/>
          <w:right w:val="nil"/>
          <w:insideH w:val="nil"/>
          <w:insideV w:val="nil"/>
        </w:tcBorders>
        <w:shd w:val="clear" w:color="auto" w:fill="69615A" w:themeFill="accent6" w:themeFillShade="BF"/>
      </w:tcPr>
    </w:tblStylePr>
  </w:style>
  <w:style w:type="table" w:customStyle="1" w:styleId="LightGrid1">
    <w:name w:val="Light Grid1"/>
    <w:basedOn w:val="TableNormal"/>
    <w:next w:val="LightGrid"/>
    <w:uiPriority w:val="62"/>
    <w:semiHidden/>
    <w:unhideWhenUsed/>
    <w:rsid w:val="00826421"/>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1">
    <w:name w:val="Light Grid - Accent 11"/>
    <w:basedOn w:val="TableNormal"/>
    <w:next w:val="LightGrid-Accent1"/>
    <w:uiPriority w:val="62"/>
    <w:semiHidden/>
    <w:unhideWhenUsed/>
    <w:rsid w:val="00826421"/>
    <w:tblPr>
      <w:tblStyleRowBandSize w:val="1"/>
      <w:tblStyleColBandSize w:val="1"/>
      <w:tblInd w:w="0" w:type="dxa"/>
      <w:tblBorders>
        <w:top w:val="single" w:sz="8" w:space="0" w:color="00B5E2" w:themeColor="accent1"/>
        <w:left w:val="single" w:sz="8" w:space="0" w:color="00B5E2" w:themeColor="accent1"/>
        <w:bottom w:val="single" w:sz="8" w:space="0" w:color="00B5E2" w:themeColor="accent1"/>
        <w:right w:val="single" w:sz="8" w:space="0" w:color="00B5E2" w:themeColor="accent1"/>
        <w:insideH w:val="single" w:sz="8" w:space="0" w:color="00B5E2" w:themeColor="accent1"/>
        <w:insideV w:val="single" w:sz="8" w:space="0" w:color="00B5E2"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B5E2" w:themeColor="accent1"/>
          <w:left w:val="single" w:sz="8" w:space="0" w:color="00B5E2" w:themeColor="accent1"/>
          <w:bottom w:val="single" w:sz="18" w:space="0" w:color="00B5E2" w:themeColor="accent1"/>
          <w:right w:val="single" w:sz="8" w:space="0" w:color="00B5E2" w:themeColor="accent1"/>
          <w:insideH w:val="nil"/>
          <w:insideV w:val="single" w:sz="8" w:space="0" w:color="00B5E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5E2" w:themeColor="accent1"/>
          <w:left w:val="single" w:sz="8" w:space="0" w:color="00B5E2" w:themeColor="accent1"/>
          <w:bottom w:val="single" w:sz="8" w:space="0" w:color="00B5E2" w:themeColor="accent1"/>
          <w:right w:val="single" w:sz="8" w:space="0" w:color="00B5E2" w:themeColor="accent1"/>
          <w:insideH w:val="nil"/>
          <w:insideV w:val="single" w:sz="8" w:space="0" w:color="00B5E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5E2" w:themeColor="accent1"/>
          <w:left w:val="single" w:sz="8" w:space="0" w:color="00B5E2" w:themeColor="accent1"/>
          <w:bottom w:val="single" w:sz="8" w:space="0" w:color="00B5E2" w:themeColor="accent1"/>
          <w:right w:val="single" w:sz="8" w:space="0" w:color="00B5E2" w:themeColor="accent1"/>
        </w:tcBorders>
      </w:tcPr>
    </w:tblStylePr>
    <w:tblStylePr w:type="band1Vert">
      <w:tblPr/>
      <w:tcPr>
        <w:tcBorders>
          <w:top w:val="single" w:sz="8" w:space="0" w:color="00B5E2" w:themeColor="accent1"/>
          <w:left w:val="single" w:sz="8" w:space="0" w:color="00B5E2" w:themeColor="accent1"/>
          <w:bottom w:val="single" w:sz="8" w:space="0" w:color="00B5E2" w:themeColor="accent1"/>
          <w:right w:val="single" w:sz="8" w:space="0" w:color="00B5E2" w:themeColor="accent1"/>
        </w:tcBorders>
        <w:shd w:val="clear" w:color="auto" w:fill="B8F0FF" w:themeFill="accent1" w:themeFillTint="3F"/>
      </w:tcPr>
    </w:tblStylePr>
    <w:tblStylePr w:type="band1Horz">
      <w:tblPr/>
      <w:tcPr>
        <w:tcBorders>
          <w:top w:val="single" w:sz="8" w:space="0" w:color="00B5E2" w:themeColor="accent1"/>
          <w:left w:val="single" w:sz="8" w:space="0" w:color="00B5E2" w:themeColor="accent1"/>
          <w:bottom w:val="single" w:sz="8" w:space="0" w:color="00B5E2" w:themeColor="accent1"/>
          <w:right w:val="single" w:sz="8" w:space="0" w:color="00B5E2" w:themeColor="accent1"/>
          <w:insideV w:val="single" w:sz="8" w:space="0" w:color="00B5E2" w:themeColor="accent1"/>
        </w:tcBorders>
        <w:shd w:val="clear" w:color="auto" w:fill="B8F0FF" w:themeFill="accent1" w:themeFillTint="3F"/>
      </w:tcPr>
    </w:tblStylePr>
    <w:tblStylePr w:type="band2Horz">
      <w:tblPr/>
      <w:tcPr>
        <w:tcBorders>
          <w:top w:val="single" w:sz="8" w:space="0" w:color="00B5E2" w:themeColor="accent1"/>
          <w:left w:val="single" w:sz="8" w:space="0" w:color="00B5E2" w:themeColor="accent1"/>
          <w:bottom w:val="single" w:sz="8" w:space="0" w:color="00B5E2" w:themeColor="accent1"/>
          <w:right w:val="single" w:sz="8" w:space="0" w:color="00B5E2" w:themeColor="accent1"/>
          <w:insideV w:val="single" w:sz="8" w:space="0" w:color="00B5E2" w:themeColor="accent1"/>
        </w:tcBorders>
      </w:tcPr>
    </w:tblStylePr>
  </w:style>
  <w:style w:type="table" w:customStyle="1" w:styleId="LightGrid-Accent21">
    <w:name w:val="Light Grid - Accent 21"/>
    <w:basedOn w:val="TableNormal"/>
    <w:next w:val="LightGrid-Accent2"/>
    <w:uiPriority w:val="62"/>
    <w:semiHidden/>
    <w:unhideWhenUsed/>
    <w:rsid w:val="00826421"/>
    <w:tblPr>
      <w:tblStyleRowBandSize w:val="1"/>
      <w:tblStyleColBandSize w:val="1"/>
      <w:tblInd w:w="0" w:type="dxa"/>
      <w:tblBorders>
        <w:top w:val="single" w:sz="8" w:space="0" w:color="84BD00" w:themeColor="accent2"/>
        <w:left w:val="single" w:sz="8" w:space="0" w:color="84BD00" w:themeColor="accent2"/>
        <w:bottom w:val="single" w:sz="8" w:space="0" w:color="84BD00" w:themeColor="accent2"/>
        <w:right w:val="single" w:sz="8" w:space="0" w:color="84BD00" w:themeColor="accent2"/>
        <w:insideH w:val="single" w:sz="8" w:space="0" w:color="84BD00" w:themeColor="accent2"/>
        <w:insideV w:val="single" w:sz="8" w:space="0" w:color="84BD00"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4BD00" w:themeColor="accent2"/>
          <w:left w:val="single" w:sz="8" w:space="0" w:color="84BD00" w:themeColor="accent2"/>
          <w:bottom w:val="single" w:sz="18" w:space="0" w:color="84BD00" w:themeColor="accent2"/>
          <w:right w:val="single" w:sz="8" w:space="0" w:color="84BD00" w:themeColor="accent2"/>
          <w:insideH w:val="nil"/>
          <w:insideV w:val="single" w:sz="8" w:space="0" w:color="84BD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4BD00" w:themeColor="accent2"/>
          <w:left w:val="single" w:sz="8" w:space="0" w:color="84BD00" w:themeColor="accent2"/>
          <w:bottom w:val="single" w:sz="8" w:space="0" w:color="84BD00" w:themeColor="accent2"/>
          <w:right w:val="single" w:sz="8" w:space="0" w:color="84BD00" w:themeColor="accent2"/>
          <w:insideH w:val="nil"/>
          <w:insideV w:val="single" w:sz="8" w:space="0" w:color="84BD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4BD00" w:themeColor="accent2"/>
          <w:left w:val="single" w:sz="8" w:space="0" w:color="84BD00" w:themeColor="accent2"/>
          <w:bottom w:val="single" w:sz="8" w:space="0" w:color="84BD00" w:themeColor="accent2"/>
          <w:right w:val="single" w:sz="8" w:space="0" w:color="84BD00" w:themeColor="accent2"/>
        </w:tcBorders>
      </w:tcPr>
    </w:tblStylePr>
    <w:tblStylePr w:type="band1Vert">
      <w:tblPr/>
      <w:tcPr>
        <w:tcBorders>
          <w:top w:val="single" w:sz="8" w:space="0" w:color="84BD00" w:themeColor="accent2"/>
          <w:left w:val="single" w:sz="8" w:space="0" w:color="84BD00" w:themeColor="accent2"/>
          <w:bottom w:val="single" w:sz="8" w:space="0" w:color="84BD00" w:themeColor="accent2"/>
          <w:right w:val="single" w:sz="8" w:space="0" w:color="84BD00" w:themeColor="accent2"/>
        </w:tcBorders>
        <w:shd w:val="clear" w:color="auto" w:fill="E7FFAF" w:themeFill="accent2" w:themeFillTint="3F"/>
      </w:tcPr>
    </w:tblStylePr>
    <w:tblStylePr w:type="band1Horz">
      <w:tblPr/>
      <w:tcPr>
        <w:tcBorders>
          <w:top w:val="single" w:sz="8" w:space="0" w:color="84BD00" w:themeColor="accent2"/>
          <w:left w:val="single" w:sz="8" w:space="0" w:color="84BD00" w:themeColor="accent2"/>
          <w:bottom w:val="single" w:sz="8" w:space="0" w:color="84BD00" w:themeColor="accent2"/>
          <w:right w:val="single" w:sz="8" w:space="0" w:color="84BD00" w:themeColor="accent2"/>
          <w:insideV w:val="single" w:sz="8" w:space="0" w:color="84BD00" w:themeColor="accent2"/>
        </w:tcBorders>
        <w:shd w:val="clear" w:color="auto" w:fill="E7FFAF" w:themeFill="accent2" w:themeFillTint="3F"/>
      </w:tcPr>
    </w:tblStylePr>
    <w:tblStylePr w:type="band2Horz">
      <w:tblPr/>
      <w:tcPr>
        <w:tcBorders>
          <w:top w:val="single" w:sz="8" w:space="0" w:color="84BD00" w:themeColor="accent2"/>
          <w:left w:val="single" w:sz="8" w:space="0" w:color="84BD00" w:themeColor="accent2"/>
          <w:bottom w:val="single" w:sz="8" w:space="0" w:color="84BD00" w:themeColor="accent2"/>
          <w:right w:val="single" w:sz="8" w:space="0" w:color="84BD00" w:themeColor="accent2"/>
          <w:insideV w:val="single" w:sz="8" w:space="0" w:color="84BD00" w:themeColor="accent2"/>
        </w:tcBorders>
      </w:tcPr>
    </w:tblStylePr>
  </w:style>
  <w:style w:type="table" w:customStyle="1" w:styleId="LightGrid-Accent31">
    <w:name w:val="Light Grid - Accent 31"/>
    <w:basedOn w:val="TableNormal"/>
    <w:next w:val="LightGrid-Accent3"/>
    <w:uiPriority w:val="62"/>
    <w:semiHidden/>
    <w:unhideWhenUsed/>
    <w:rsid w:val="00826421"/>
    <w:tblPr>
      <w:tblStyleRowBandSize w:val="1"/>
      <w:tblStyleColBandSize w:val="1"/>
      <w:tblInd w:w="0" w:type="dxa"/>
      <w:tblBorders>
        <w:top w:val="single" w:sz="8" w:space="0" w:color="F68B1F" w:themeColor="accent3"/>
        <w:left w:val="single" w:sz="8" w:space="0" w:color="F68B1F" w:themeColor="accent3"/>
        <w:bottom w:val="single" w:sz="8" w:space="0" w:color="F68B1F" w:themeColor="accent3"/>
        <w:right w:val="single" w:sz="8" w:space="0" w:color="F68B1F" w:themeColor="accent3"/>
        <w:insideH w:val="single" w:sz="8" w:space="0" w:color="F68B1F" w:themeColor="accent3"/>
        <w:insideV w:val="single" w:sz="8" w:space="0" w:color="F68B1F"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68B1F" w:themeColor="accent3"/>
          <w:left w:val="single" w:sz="8" w:space="0" w:color="F68B1F" w:themeColor="accent3"/>
          <w:bottom w:val="single" w:sz="18" w:space="0" w:color="F68B1F" w:themeColor="accent3"/>
          <w:right w:val="single" w:sz="8" w:space="0" w:color="F68B1F" w:themeColor="accent3"/>
          <w:insideH w:val="nil"/>
          <w:insideV w:val="single" w:sz="8" w:space="0" w:color="F68B1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68B1F" w:themeColor="accent3"/>
          <w:left w:val="single" w:sz="8" w:space="0" w:color="F68B1F" w:themeColor="accent3"/>
          <w:bottom w:val="single" w:sz="8" w:space="0" w:color="F68B1F" w:themeColor="accent3"/>
          <w:right w:val="single" w:sz="8" w:space="0" w:color="F68B1F" w:themeColor="accent3"/>
          <w:insideH w:val="nil"/>
          <w:insideV w:val="single" w:sz="8" w:space="0" w:color="F68B1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68B1F" w:themeColor="accent3"/>
          <w:left w:val="single" w:sz="8" w:space="0" w:color="F68B1F" w:themeColor="accent3"/>
          <w:bottom w:val="single" w:sz="8" w:space="0" w:color="F68B1F" w:themeColor="accent3"/>
          <w:right w:val="single" w:sz="8" w:space="0" w:color="F68B1F" w:themeColor="accent3"/>
        </w:tcBorders>
      </w:tcPr>
    </w:tblStylePr>
    <w:tblStylePr w:type="band1Vert">
      <w:tblPr/>
      <w:tcPr>
        <w:tcBorders>
          <w:top w:val="single" w:sz="8" w:space="0" w:color="F68B1F" w:themeColor="accent3"/>
          <w:left w:val="single" w:sz="8" w:space="0" w:color="F68B1F" w:themeColor="accent3"/>
          <w:bottom w:val="single" w:sz="8" w:space="0" w:color="F68B1F" w:themeColor="accent3"/>
          <w:right w:val="single" w:sz="8" w:space="0" w:color="F68B1F" w:themeColor="accent3"/>
        </w:tcBorders>
        <w:shd w:val="clear" w:color="auto" w:fill="FCE2C7" w:themeFill="accent3" w:themeFillTint="3F"/>
      </w:tcPr>
    </w:tblStylePr>
    <w:tblStylePr w:type="band1Horz">
      <w:tblPr/>
      <w:tcPr>
        <w:tcBorders>
          <w:top w:val="single" w:sz="8" w:space="0" w:color="F68B1F" w:themeColor="accent3"/>
          <w:left w:val="single" w:sz="8" w:space="0" w:color="F68B1F" w:themeColor="accent3"/>
          <w:bottom w:val="single" w:sz="8" w:space="0" w:color="F68B1F" w:themeColor="accent3"/>
          <w:right w:val="single" w:sz="8" w:space="0" w:color="F68B1F" w:themeColor="accent3"/>
          <w:insideV w:val="single" w:sz="8" w:space="0" w:color="F68B1F" w:themeColor="accent3"/>
        </w:tcBorders>
        <w:shd w:val="clear" w:color="auto" w:fill="FCE2C7" w:themeFill="accent3" w:themeFillTint="3F"/>
      </w:tcPr>
    </w:tblStylePr>
    <w:tblStylePr w:type="band2Horz">
      <w:tblPr/>
      <w:tcPr>
        <w:tcBorders>
          <w:top w:val="single" w:sz="8" w:space="0" w:color="F68B1F" w:themeColor="accent3"/>
          <w:left w:val="single" w:sz="8" w:space="0" w:color="F68B1F" w:themeColor="accent3"/>
          <w:bottom w:val="single" w:sz="8" w:space="0" w:color="F68B1F" w:themeColor="accent3"/>
          <w:right w:val="single" w:sz="8" w:space="0" w:color="F68B1F" w:themeColor="accent3"/>
          <w:insideV w:val="single" w:sz="8" w:space="0" w:color="F68B1F" w:themeColor="accent3"/>
        </w:tcBorders>
      </w:tcPr>
    </w:tblStylePr>
  </w:style>
  <w:style w:type="table" w:customStyle="1" w:styleId="LightGrid-Accent41">
    <w:name w:val="Light Grid - Accent 41"/>
    <w:basedOn w:val="TableNormal"/>
    <w:next w:val="LightGrid-Accent4"/>
    <w:uiPriority w:val="62"/>
    <w:semiHidden/>
    <w:unhideWhenUsed/>
    <w:rsid w:val="00826421"/>
    <w:tblPr>
      <w:tblStyleRowBandSize w:val="1"/>
      <w:tblStyleColBandSize w:val="1"/>
      <w:tblInd w:w="0" w:type="dxa"/>
      <w:tblBorders>
        <w:top w:val="single" w:sz="8" w:space="0" w:color="9E007E" w:themeColor="accent4"/>
        <w:left w:val="single" w:sz="8" w:space="0" w:color="9E007E" w:themeColor="accent4"/>
        <w:bottom w:val="single" w:sz="8" w:space="0" w:color="9E007E" w:themeColor="accent4"/>
        <w:right w:val="single" w:sz="8" w:space="0" w:color="9E007E" w:themeColor="accent4"/>
        <w:insideH w:val="single" w:sz="8" w:space="0" w:color="9E007E" w:themeColor="accent4"/>
        <w:insideV w:val="single" w:sz="8" w:space="0" w:color="9E007E"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E007E" w:themeColor="accent4"/>
          <w:left w:val="single" w:sz="8" w:space="0" w:color="9E007E" w:themeColor="accent4"/>
          <w:bottom w:val="single" w:sz="18" w:space="0" w:color="9E007E" w:themeColor="accent4"/>
          <w:right w:val="single" w:sz="8" w:space="0" w:color="9E007E" w:themeColor="accent4"/>
          <w:insideH w:val="nil"/>
          <w:insideV w:val="single" w:sz="8" w:space="0" w:color="9E007E"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E007E" w:themeColor="accent4"/>
          <w:left w:val="single" w:sz="8" w:space="0" w:color="9E007E" w:themeColor="accent4"/>
          <w:bottom w:val="single" w:sz="8" w:space="0" w:color="9E007E" w:themeColor="accent4"/>
          <w:right w:val="single" w:sz="8" w:space="0" w:color="9E007E" w:themeColor="accent4"/>
          <w:insideH w:val="nil"/>
          <w:insideV w:val="single" w:sz="8" w:space="0" w:color="9E007E"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E007E" w:themeColor="accent4"/>
          <w:left w:val="single" w:sz="8" w:space="0" w:color="9E007E" w:themeColor="accent4"/>
          <w:bottom w:val="single" w:sz="8" w:space="0" w:color="9E007E" w:themeColor="accent4"/>
          <w:right w:val="single" w:sz="8" w:space="0" w:color="9E007E" w:themeColor="accent4"/>
        </w:tcBorders>
      </w:tcPr>
    </w:tblStylePr>
    <w:tblStylePr w:type="band1Vert">
      <w:tblPr/>
      <w:tcPr>
        <w:tcBorders>
          <w:top w:val="single" w:sz="8" w:space="0" w:color="9E007E" w:themeColor="accent4"/>
          <w:left w:val="single" w:sz="8" w:space="0" w:color="9E007E" w:themeColor="accent4"/>
          <w:bottom w:val="single" w:sz="8" w:space="0" w:color="9E007E" w:themeColor="accent4"/>
          <w:right w:val="single" w:sz="8" w:space="0" w:color="9E007E" w:themeColor="accent4"/>
        </w:tcBorders>
        <w:shd w:val="clear" w:color="auto" w:fill="FFA8ED" w:themeFill="accent4" w:themeFillTint="3F"/>
      </w:tcPr>
    </w:tblStylePr>
    <w:tblStylePr w:type="band1Horz">
      <w:tblPr/>
      <w:tcPr>
        <w:tcBorders>
          <w:top w:val="single" w:sz="8" w:space="0" w:color="9E007E" w:themeColor="accent4"/>
          <w:left w:val="single" w:sz="8" w:space="0" w:color="9E007E" w:themeColor="accent4"/>
          <w:bottom w:val="single" w:sz="8" w:space="0" w:color="9E007E" w:themeColor="accent4"/>
          <w:right w:val="single" w:sz="8" w:space="0" w:color="9E007E" w:themeColor="accent4"/>
          <w:insideV w:val="single" w:sz="8" w:space="0" w:color="9E007E" w:themeColor="accent4"/>
        </w:tcBorders>
        <w:shd w:val="clear" w:color="auto" w:fill="FFA8ED" w:themeFill="accent4" w:themeFillTint="3F"/>
      </w:tcPr>
    </w:tblStylePr>
    <w:tblStylePr w:type="band2Horz">
      <w:tblPr/>
      <w:tcPr>
        <w:tcBorders>
          <w:top w:val="single" w:sz="8" w:space="0" w:color="9E007E" w:themeColor="accent4"/>
          <w:left w:val="single" w:sz="8" w:space="0" w:color="9E007E" w:themeColor="accent4"/>
          <w:bottom w:val="single" w:sz="8" w:space="0" w:color="9E007E" w:themeColor="accent4"/>
          <w:right w:val="single" w:sz="8" w:space="0" w:color="9E007E" w:themeColor="accent4"/>
          <w:insideV w:val="single" w:sz="8" w:space="0" w:color="9E007E" w:themeColor="accent4"/>
        </w:tcBorders>
      </w:tcPr>
    </w:tblStylePr>
  </w:style>
  <w:style w:type="table" w:customStyle="1" w:styleId="LightGrid-Accent51">
    <w:name w:val="Light Grid - Accent 51"/>
    <w:basedOn w:val="TableNormal"/>
    <w:next w:val="LightGrid-Accent5"/>
    <w:uiPriority w:val="62"/>
    <w:semiHidden/>
    <w:unhideWhenUsed/>
    <w:rsid w:val="00826421"/>
    <w:tblPr>
      <w:tblStyleRowBandSize w:val="1"/>
      <w:tblStyleColBandSize w:val="1"/>
      <w:tblInd w:w="0" w:type="dxa"/>
      <w:tblBorders>
        <w:top w:val="single" w:sz="8" w:space="0" w:color="FFE512" w:themeColor="accent5"/>
        <w:left w:val="single" w:sz="8" w:space="0" w:color="FFE512" w:themeColor="accent5"/>
        <w:bottom w:val="single" w:sz="8" w:space="0" w:color="FFE512" w:themeColor="accent5"/>
        <w:right w:val="single" w:sz="8" w:space="0" w:color="FFE512" w:themeColor="accent5"/>
        <w:insideH w:val="single" w:sz="8" w:space="0" w:color="FFE512" w:themeColor="accent5"/>
        <w:insideV w:val="single" w:sz="8" w:space="0" w:color="FFE512"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E512" w:themeColor="accent5"/>
          <w:left w:val="single" w:sz="8" w:space="0" w:color="FFE512" w:themeColor="accent5"/>
          <w:bottom w:val="single" w:sz="18" w:space="0" w:color="FFE512" w:themeColor="accent5"/>
          <w:right w:val="single" w:sz="8" w:space="0" w:color="FFE512" w:themeColor="accent5"/>
          <w:insideH w:val="nil"/>
          <w:insideV w:val="single" w:sz="8" w:space="0" w:color="FFE512"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E512" w:themeColor="accent5"/>
          <w:left w:val="single" w:sz="8" w:space="0" w:color="FFE512" w:themeColor="accent5"/>
          <w:bottom w:val="single" w:sz="8" w:space="0" w:color="FFE512" w:themeColor="accent5"/>
          <w:right w:val="single" w:sz="8" w:space="0" w:color="FFE512" w:themeColor="accent5"/>
          <w:insideH w:val="nil"/>
          <w:insideV w:val="single" w:sz="8" w:space="0" w:color="FFE512"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E512" w:themeColor="accent5"/>
          <w:left w:val="single" w:sz="8" w:space="0" w:color="FFE512" w:themeColor="accent5"/>
          <w:bottom w:val="single" w:sz="8" w:space="0" w:color="FFE512" w:themeColor="accent5"/>
          <w:right w:val="single" w:sz="8" w:space="0" w:color="FFE512" w:themeColor="accent5"/>
        </w:tcBorders>
      </w:tcPr>
    </w:tblStylePr>
    <w:tblStylePr w:type="band1Vert">
      <w:tblPr/>
      <w:tcPr>
        <w:tcBorders>
          <w:top w:val="single" w:sz="8" w:space="0" w:color="FFE512" w:themeColor="accent5"/>
          <w:left w:val="single" w:sz="8" w:space="0" w:color="FFE512" w:themeColor="accent5"/>
          <w:bottom w:val="single" w:sz="8" w:space="0" w:color="FFE512" w:themeColor="accent5"/>
          <w:right w:val="single" w:sz="8" w:space="0" w:color="FFE512" w:themeColor="accent5"/>
        </w:tcBorders>
        <w:shd w:val="clear" w:color="auto" w:fill="FFF8C4" w:themeFill="accent5" w:themeFillTint="3F"/>
      </w:tcPr>
    </w:tblStylePr>
    <w:tblStylePr w:type="band1Horz">
      <w:tblPr/>
      <w:tcPr>
        <w:tcBorders>
          <w:top w:val="single" w:sz="8" w:space="0" w:color="FFE512" w:themeColor="accent5"/>
          <w:left w:val="single" w:sz="8" w:space="0" w:color="FFE512" w:themeColor="accent5"/>
          <w:bottom w:val="single" w:sz="8" w:space="0" w:color="FFE512" w:themeColor="accent5"/>
          <w:right w:val="single" w:sz="8" w:space="0" w:color="FFE512" w:themeColor="accent5"/>
          <w:insideV w:val="single" w:sz="8" w:space="0" w:color="FFE512" w:themeColor="accent5"/>
        </w:tcBorders>
        <w:shd w:val="clear" w:color="auto" w:fill="FFF8C4" w:themeFill="accent5" w:themeFillTint="3F"/>
      </w:tcPr>
    </w:tblStylePr>
    <w:tblStylePr w:type="band2Horz">
      <w:tblPr/>
      <w:tcPr>
        <w:tcBorders>
          <w:top w:val="single" w:sz="8" w:space="0" w:color="FFE512" w:themeColor="accent5"/>
          <w:left w:val="single" w:sz="8" w:space="0" w:color="FFE512" w:themeColor="accent5"/>
          <w:bottom w:val="single" w:sz="8" w:space="0" w:color="FFE512" w:themeColor="accent5"/>
          <w:right w:val="single" w:sz="8" w:space="0" w:color="FFE512" w:themeColor="accent5"/>
          <w:insideV w:val="single" w:sz="8" w:space="0" w:color="FFE512" w:themeColor="accent5"/>
        </w:tcBorders>
      </w:tcPr>
    </w:tblStylePr>
  </w:style>
  <w:style w:type="table" w:customStyle="1" w:styleId="LightGrid-Accent61">
    <w:name w:val="Light Grid - Accent 61"/>
    <w:basedOn w:val="TableNormal"/>
    <w:next w:val="LightGrid-Accent6"/>
    <w:uiPriority w:val="62"/>
    <w:semiHidden/>
    <w:unhideWhenUsed/>
    <w:rsid w:val="00826421"/>
    <w:tblPr>
      <w:tblStyleRowBandSize w:val="1"/>
      <w:tblStyleColBandSize w:val="1"/>
      <w:tblInd w:w="0" w:type="dxa"/>
      <w:tblBorders>
        <w:top w:val="single" w:sz="8" w:space="0" w:color="8C8279" w:themeColor="accent6"/>
        <w:left w:val="single" w:sz="8" w:space="0" w:color="8C8279" w:themeColor="accent6"/>
        <w:bottom w:val="single" w:sz="8" w:space="0" w:color="8C8279" w:themeColor="accent6"/>
        <w:right w:val="single" w:sz="8" w:space="0" w:color="8C8279" w:themeColor="accent6"/>
        <w:insideH w:val="single" w:sz="8" w:space="0" w:color="8C8279" w:themeColor="accent6"/>
        <w:insideV w:val="single" w:sz="8" w:space="0" w:color="8C8279"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C8279" w:themeColor="accent6"/>
          <w:left w:val="single" w:sz="8" w:space="0" w:color="8C8279" w:themeColor="accent6"/>
          <w:bottom w:val="single" w:sz="18" w:space="0" w:color="8C8279" w:themeColor="accent6"/>
          <w:right w:val="single" w:sz="8" w:space="0" w:color="8C8279" w:themeColor="accent6"/>
          <w:insideH w:val="nil"/>
          <w:insideV w:val="single" w:sz="8" w:space="0" w:color="8C827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C8279" w:themeColor="accent6"/>
          <w:left w:val="single" w:sz="8" w:space="0" w:color="8C8279" w:themeColor="accent6"/>
          <w:bottom w:val="single" w:sz="8" w:space="0" w:color="8C8279" w:themeColor="accent6"/>
          <w:right w:val="single" w:sz="8" w:space="0" w:color="8C8279" w:themeColor="accent6"/>
          <w:insideH w:val="nil"/>
          <w:insideV w:val="single" w:sz="8" w:space="0" w:color="8C827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C8279" w:themeColor="accent6"/>
          <w:left w:val="single" w:sz="8" w:space="0" w:color="8C8279" w:themeColor="accent6"/>
          <w:bottom w:val="single" w:sz="8" w:space="0" w:color="8C8279" w:themeColor="accent6"/>
          <w:right w:val="single" w:sz="8" w:space="0" w:color="8C8279" w:themeColor="accent6"/>
        </w:tcBorders>
      </w:tcPr>
    </w:tblStylePr>
    <w:tblStylePr w:type="band1Vert">
      <w:tblPr/>
      <w:tcPr>
        <w:tcBorders>
          <w:top w:val="single" w:sz="8" w:space="0" w:color="8C8279" w:themeColor="accent6"/>
          <w:left w:val="single" w:sz="8" w:space="0" w:color="8C8279" w:themeColor="accent6"/>
          <w:bottom w:val="single" w:sz="8" w:space="0" w:color="8C8279" w:themeColor="accent6"/>
          <w:right w:val="single" w:sz="8" w:space="0" w:color="8C8279" w:themeColor="accent6"/>
        </w:tcBorders>
        <w:shd w:val="clear" w:color="auto" w:fill="E2E0DD" w:themeFill="accent6" w:themeFillTint="3F"/>
      </w:tcPr>
    </w:tblStylePr>
    <w:tblStylePr w:type="band1Horz">
      <w:tblPr/>
      <w:tcPr>
        <w:tcBorders>
          <w:top w:val="single" w:sz="8" w:space="0" w:color="8C8279" w:themeColor="accent6"/>
          <w:left w:val="single" w:sz="8" w:space="0" w:color="8C8279" w:themeColor="accent6"/>
          <w:bottom w:val="single" w:sz="8" w:space="0" w:color="8C8279" w:themeColor="accent6"/>
          <w:right w:val="single" w:sz="8" w:space="0" w:color="8C8279" w:themeColor="accent6"/>
          <w:insideV w:val="single" w:sz="8" w:space="0" w:color="8C8279" w:themeColor="accent6"/>
        </w:tcBorders>
        <w:shd w:val="clear" w:color="auto" w:fill="E2E0DD" w:themeFill="accent6" w:themeFillTint="3F"/>
      </w:tcPr>
    </w:tblStylePr>
    <w:tblStylePr w:type="band2Horz">
      <w:tblPr/>
      <w:tcPr>
        <w:tcBorders>
          <w:top w:val="single" w:sz="8" w:space="0" w:color="8C8279" w:themeColor="accent6"/>
          <w:left w:val="single" w:sz="8" w:space="0" w:color="8C8279" w:themeColor="accent6"/>
          <w:bottom w:val="single" w:sz="8" w:space="0" w:color="8C8279" w:themeColor="accent6"/>
          <w:right w:val="single" w:sz="8" w:space="0" w:color="8C8279" w:themeColor="accent6"/>
          <w:insideV w:val="single" w:sz="8" w:space="0" w:color="8C8279" w:themeColor="accent6"/>
        </w:tcBorders>
      </w:tcPr>
    </w:tblStylePr>
  </w:style>
  <w:style w:type="table" w:customStyle="1" w:styleId="LightList1">
    <w:name w:val="Light List1"/>
    <w:basedOn w:val="TableNormal"/>
    <w:next w:val="LightList"/>
    <w:uiPriority w:val="61"/>
    <w:semiHidden/>
    <w:unhideWhenUsed/>
    <w:rsid w:val="00826421"/>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eNormal"/>
    <w:next w:val="LightList-Accent1"/>
    <w:uiPriority w:val="61"/>
    <w:semiHidden/>
    <w:unhideWhenUsed/>
    <w:rsid w:val="00826421"/>
    <w:tblPr>
      <w:tblStyleRowBandSize w:val="1"/>
      <w:tblStyleColBandSize w:val="1"/>
      <w:tblInd w:w="0" w:type="dxa"/>
      <w:tblBorders>
        <w:top w:val="single" w:sz="8" w:space="0" w:color="00B5E2" w:themeColor="accent1"/>
        <w:left w:val="single" w:sz="8" w:space="0" w:color="00B5E2" w:themeColor="accent1"/>
        <w:bottom w:val="single" w:sz="8" w:space="0" w:color="00B5E2" w:themeColor="accent1"/>
        <w:right w:val="single" w:sz="8" w:space="0" w:color="00B5E2"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B5E2" w:themeFill="accent1"/>
      </w:tcPr>
    </w:tblStylePr>
    <w:tblStylePr w:type="lastRow">
      <w:pPr>
        <w:spacing w:before="0" w:after="0" w:line="240" w:lineRule="auto"/>
      </w:pPr>
      <w:rPr>
        <w:b/>
        <w:bCs/>
      </w:rPr>
      <w:tblPr/>
      <w:tcPr>
        <w:tcBorders>
          <w:top w:val="double" w:sz="6" w:space="0" w:color="00B5E2" w:themeColor="accent1"/>
          <w:left w:val="single" w:sz="8" w:space="0" w:color="00B5E2" w:themeColor="accent1"/>
          <w:bottom w:val="single" w:sz="8" w:space="0" w:color="00B5E2" w:themeColor="accent1"/>
          <w:right w:val="single" w:sz="8" w:space="0" w:color="00B5E2" w:themeColor="accent1"/>
        </w:tcBorders>
      </w:tcPr>
    </w:tblStylePr>
    <w:tblStylePr w:type="firstCol">
      <w:rPr>
        <w:b/>
        <w:bCs/>
      </w:rPr>
    </w:tblStylePr>
    <w:tblStylePr w:type="lastCol">
      <w:rPr>
        <w:b/>
        <w:bCs/>
      </w:rPr>
    </w:tblStylePr>
    <w:tblStylePr w:type="band1Vert">
      <w:tblPr/>
      <w:tcPr>
        <w:tcBorders>
          <w:top w:val="single" w:sz="8" w:space="0" w:color="00B5E2" w:themeColor="accent1"/>
          <w:left w:val="single" w:sz="8" w:space="0" w:color="00B5E2" w:themeColor="accent1"/>
          <w:bottom w:val="single" w:sz="8" w:space="0" w:color="00B5E2" w:themeColor="accent1"/>
          <w:right w:val="single" w:sz="8" w:space="0" w:color="00B5E2" w:themeColor="accent1"/>
        </w:tcBorders>
      </w:tcPr>
    </w:tblStylePr>
    <w:tblStylePr w:type="band1Horz">
      <w:tblPr/>
      <w:tcPr>
        <w:tcBorders>
          <w:top w:val="single" w:sz="8" w:space="0" w:color="00B5E2" w:themeColor="accent1"/>
          <w:left w:val="single" w:sz="8" w:space="0" w:color="00B5E2" w:themeColor="accent1"/>
          <w:bottom w:val="single" w:sz="8" w:space="0" w:color="00B5E2" w:themeColor="accent1"/>
          <w:right w:val="single" w:sz="8" w:space="0" w:color="00B5E2" w:themeColor="accent1"/>
        </w:tcBorders>
      </w:tcPr>
    </w:tblStylePr>
  </w:style>
  <w:style w:type="table" w:customStyle="1" w:styleId="LightList-Accent21">
    <w:name w:val="Light List - Accent 21"/>
    <w:basedOn w:val="TableNormal"/>
    <w:next w:val="LightList-Accent2"/>
    <w:uiPriority w:val="61"/>
    <w:semiHidden/>
    <w:unhideWhenUsed/>
    <w:rsid w:val="00826421"/>
    <w:tblPr>
      <w:tblStyleRowBandSize w:val="1"/>
      <w:tblStyleColBandSize w:val="1"/>
      <w:tblInd w:w="0" w:type="dxa"/>
      <w:tblBorders>
        <w:top w:val="single" w:sz="8" w:space="0" w:color="84BD00" w:themeColor="accent2"/>
        <w:left w:val="single" w:sz="8" w:space="0" w:color="84BD00" w:themeColor="accent2"/>
        <w:bottom w:val="single" w:sz="8" w:space="0" w:color="84BD00" w:themeColor="accent2"/>
        <w:right w:val="single" w:sz="8" w:space="0" w:color="84BD00"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4BD00" w:themeFill="accent2"/>
      </w:tcPr>
    </w:tblStylePr>
    <w:tblStylePr w:type="lastRow">
      <w:pPr>
        <w:spacing w:before="0" w:after="0" w:line="240" w:lineRule="auto"/>
      </w:pPr>
      <w:rPr>
        <w:b/>
        <w:bCs/>
      </w:rPr>
      <w:tblPr/>
      <w:tcPr>
        <w:tcBorders>
          <w:top w:val="double" w:sz="6" w:space="0" w:color="84BD00" w:themeColor="accent2"/>
          <w:left w:val="single" w:sz="8" w:space="0" w:color="84BD00" w:themeColor="accent2"/>
          <w:bottom w:val="single" w:sz="8" w:space="0" w:color="84BD00" w:themeColor="accent2"/>
          <w:right w:val="single" w:sz="8" w:space="0" w:color="84BD00" w:themeColor="accent2"/>
        </w:tcBorders>
      </w:tcPr>
    </w:tblStylePr>
    <w:tblStylePr w:type="firstCol">
      <w:rPr>
        <w:b/>
        <w:bCs/>
      </w:rPr>
    </w:tblStylePr>
    <w:tblStylePr w:type="lastCol">
      <w:rPr>
        <w:b/>
        <w:bCs/>
      </w:rPr>
    </w:tblStylePr>
    <w:tblStylePr w:type="band1Vert">
      <w:tblPr/>
      <w:tcPr>
        <w:tcBorders>
          <w:top w:val="single" w:sz="8" w:space="0" w:color="84BD00" w:themeColor="accent2"/>
          <w:left w:val="single" w:sz="8" w:space="0" w:color="84BD00" w:themeColor="accent2"/>
          <w:bottom w:val="single" w:sz="8" w:space="0" w:color="84BD00" w:themeColor="accent2"/>
          <w:right w:val="single" w:sz="8" w:space="0" w:color="84BD00" w:themeColor="accent2"/>
        </w:tcBorders>
      </w:tcPr>
    </w:tblStylePr>
    <w:tblStylePr w:type="band1Horz">
      <w:tblPr/>
      <w:tcPr>
        <w:tcBorders>
          <w:top w:val="single" w:sz="8" w:space="0" w:color="84BD00" w:themeColor="accent2"/>
          <w:left w:val="single" w:sz="8" w:space="0" w:color="84BD00" w:themeColor="accent2"/>
          <w:bottom w:val="single" w:sz="8" w:space="0" w:color="84BD00" w:themeColor="accent2"/>
          <w:right w:val="single" w:sz="8" w:space="0" w:color="84BD00" w:themeColor="accent2"/>
        </w:tcBorders>
      </w:tcPr>
    </w:tblStylePr>
  </w:style>
  <w:style w:type="table" w:customStyle="1" w:styleId="LightList-Accent31">
    <w:name w:val="Light List - Accent 31"/>
    <w:basedOn w:val="TableNormal"/>
    <w:next w:val="LightList-Accent3"/>
    <w:uiPriority w:val="61"/>
    <w:semiHidden/>
    <w:unhideWhenUsed/>
    <w:rsid w:val="00826421"/>
    <w:tblPr>
      <w:tblStyleRowBandSize w:val="1"/>
      <w:tblStyleColBandSize w:val="1"/>
      <w:tblInd w:w="0" w:type="dxa"/>
      <w:tblBorders>
        <w:top w:val="single" w:sz="8" w:space="0" w:color="F68B1F" w:themeColor="accent3"/>
        <w:left w:val="single" w:sz="8" w:space="0" w:color="F68B1F" w:themeColor="accent3"/>
        <w:bottom w:val="single" w:sz="8" w:space="0" w:color="F68B1F" w:themeColor="accent3"/>
        <w:right w:val="single" w:sz="8" w:space="0" w:color="F68B1F"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68B1F" w:themeFill="accent3"/>
      </w:tcPr>
    </w:tblStylePr>
    <w:tblStylePr w:type="lastRow">
      <w:pPr>
        <w:spacing w:before="0" w:after="0" w:line="240" w:lineRule="auto"/>
      </w:pPr>
      <w:rPr>
        <w:b/>
        <w:bCs/>
      </w:rPr>
      <w:tblPr/>
      <w:tcPr>
        <w:tcBorders>
          <w:top w:val="double" w:sz="6" w:space="0" w:color="F68B1F" w:themeColor="accent3"/>
          <w:left w:val="single" w:sz="8" w:space="0" w:color="F68B1F" w:themeColor="accent3"/>
          <w:bottom w:val="single" w:sz="8" w:space="0" w:color="F68B1F" w:themeColor="accent3"/>
          <w:right w:val="single" w:sz="8" w:space="0" w:color="F68B1F" w:themeColor="accent3"/>
        </w:tcBorders>
      </w:tcPr>
    </w:tblStylePr>
    <w:tblStylePr w:type="firstCol">
      <w:rPr>
        <w:b/>
        <w:bCs/>
      </w:rPr>
    </w:tblStylePr>
    <w:tblStylePr w:type="lastCol">
      <w:rPr>
        <w:b/>
        <w:bCs/>
      </w:rPr>
    </w:tblStylePr>
    <w:tblStylePr w:type="band1Vert">
      <w:tblPr/>
      <w:tcPr>
        <w:tcBorders>
          <w:top w:val="single" w:sz="8" w:space="0" w:color="F68B1F" w:themeColor="accent3"/>
          <w:left w:val="single" w:sz="8" w:space="0" w:color="F68B1F" w:themeColor="accent3"/>
          <w:bottom w:val="single" w:sz="8" w:space="0" w:color="F68B1F" w:themeColor="accent3"/>
          <w:right w:val="single" w:sz="8" w:space="0" w:color="F68B1F" w:themeColor="accent3"/>
        </w:tcBorders>
      </w:tcPr>
    </w:tblStylePr>
    <w:tblStylePr w:type="band1Horz">
      <w:tblPr/>
      <w:tcPr>
        <w:tcBorders>
          <w:top w:val="single" w:sz="8" w:space="0" w:color="F68B1F" w:themeColor="accent3"/>
          <w:left w:val="single" w:sz="8" w:space="0" w:color="F68B1F" w:themeColor="accent3"/>
          <w:bottom w:val="single" w:sz="8" w:space="0" w:color="F68B1F" w:themeColor="accent3"/>
          <w:right w:val="single" w:sz="8" w:space="0" w:color="F68B1F" w:themeColor="accent3"/>
        </w:tcBorders>
      </w:tcPr>
    </w:tblStylePr>
  </w:style>
  <w:style w:type="table" w:customStyle="1" w:styleId="LightList-Accent41">
    <w:name w:val="Light List - Accent 41"/>
    <w:basedOn w:val="TableNormal"/>
    <w:next w:val="LightList-Accent4"/>
    <w:uiPriority w:val="61"/>
    <w:semiHidden/>
    <w:unhideWhenUsed/>
    <w:rsid w:val="00826421"/>
    <w:tblPr>
      <w:tblStyleRowBandSize w:val="1"/>
      <w:tblStyleColBandSize w:val="1"/>
      <w:tblInd w:w="0" w:type="dxa"/>
      <w:tblBorders>
        <w:top w:val="single" w:sz="8" w:space="0" w:color="9E007E" w:themeColor="accent4"/>
        <w:left w:val="single" w:sz="8" w:space="0" w:color="9E007E" w:themeColor="accent4"/>
        <w:bottom w:val="single" w:sz="8" w:space="0" w:color="9E007E" w:themeColor="accent4"/>
        <w:right w:val="single" w:sz="8" w:space="0" w:color="9E007E"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E007E" w:themeFill="accent4"/>
      </w:tcPr>
    </w:tblStylePr>
    <w:tblStylePr w:type="lastRow">
      <w:pPr>
        <w:spacing w:before="0" w:after="0" w:line="240" w:lineRule="auto"/>
      </w:pPr>
      <w:rPr>
        <w:b/>
        <w:bCs/>
      </w:rPr>
      <w:tblPr/>
      <w:tcPr>
        <w:tcBorders>
          <w:top w:val="double" w:sz="6" w:space="0" w:color="9E007E" w:themeColor="accent4"/>
          <w:left w:val="single" w:sz="8" w:space="0" w:color="9E007E" w:themeColor="accent4"/>
          <w:bottom w:val="single" w:sz="8" w:space="0" w:color="9E007E" w:themeColor="accent4"/>
          <w:right w:val="single" w:sz="8" w:space="0" w:color="9E007E" w:themeColor="accent4"/>
        </w:tcBorders>
      </w:tcPr>
    </w:tblStylePr>
    <w:tblStylePr w:type="firstCol">
      <w:rPr>
        <w:b/>
        <w:bCs/>
      </w:rPr>
    </w:tblStylePr>
    <w:tblStylePr w:type="lastCol">
      <w:rPr>
        <w:b/>
        <w:bCs/>
      </w:rPr>
    </w:tblStylePr>
    <w:tblStylePr w:type="band1Vert">
      <w:tblPr/>
      <w:tcPr>
        <w:tcBorders>
          <w:top w:val="single" w:sz="8" w:space="0" w:color="9E007E" w:themeColor="accent4"/>
          <w:left w:val="single" w:sz="8" w:space="0" w:color="9E007E" w:themeColor="accent4"/>
          <w:bottom w:val="single" w:sz="8" w:space="0" w:color="9E007E" w:themeColor="accent4"/>
          <w:right w:val="single" w:sz="8" w:space="0" w:color="9E007E" w:themeColor="accent4"/>
        </w:tcBorders>
      </w:tcPr>
    </w:tblStylePr>
    <w:tblStylePr w:type="band1Horz">
      <w:tblPr/>
      <w:tcPr>
        <w:tcBorders>
          <w:top w:val="single" w:sz="8" w:space="0" w:color="9E007E" w:themeColor="accent4"/>
          <w:left w:val="single" w:sz="8" w:space="0" w:color="9E007E" w:themeColor="accent4"/>
          <w:bottom w:val="single" w:sz="8" w:space="0" w:color="9E007E" w:themeColor="accent4"/>
          <w:right w:val="single" w:sz="8" w:space="0" w:color="9E007E" w:themeColor="accent4"/>
        </w:tcBorders>
      </w:tcPr>
    </w:tblStylePr>
  </w:style>
  <w:style w:type="table" w:customStyle="1" w:styleId="LightList-Accent51">
    <w:name w:val="Light List - Accent 51"/>
    <w:basedOn w:val="TableNormal"/>
    <w:next w:val="LightList-Accent5"/>
    <w:uiPriority w:val="61"/>
    <w:semiHidden/>
    <w:unhideWhenUsed/>
    <w:rsid w:val="00826421"/>
    <w:tblPr>
      <w:tblStyleRowBandSize w:val="1"/>
      <w:tblStyleColBandSize w:val="1"/>
      <w:tblInd w:w="0" w:type="dxa"/>
      <w:tblBorders>
        <w:top w:val="single" w:sz="8" w:space="0" w:color="FFE512" w:themeColor="accent5"/>
        <w:left w:val="single" w:sz="8" w:space="0" w:color="FFE512" w:themeColor="accent5"/>
        <w:bottom w:val="single" w:sz="8" w:space="0" w:color="FFE512" w:themeColor="accent5"/>
        <w:right w:val="single" w:sz="8" w:space="0" w:color="FFE512"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FE512" w:themeFill="accent5"/>
      </w:tcPr>
    </w:tblStylePr>
    <w:tblStylePr w:type="lastRow">
      <w:pPr>
        <w:spacing w:before="0" w:after="0" w:line="240" w:lineRule="auto"/>
      </w:pPr>
      <w:rPr>
        <w:b/>
        <w:bCs/>
      </w:rPr>
      <w:tblPr/>
      <w:tcPr>
        <w:tcBorders>
          <w:top w:val="double" w:sz="6" w:space="0" w:color="FFE512" w:themeColor="accent5"/>
          <w:left w:val="single" w:sz="8" w:space="0" w:color="FFE512" w:themeColor="accent5"/>
          <w:bottom w:val="single" w:sz="8" w:space="0" w:color="FFE512" w:themeColor="accent5"/>
          <w:right w:val="single" w:sz="8" w:space="0" w:color="FFE512" w:themeColor="accent5"/>
        </w:tcBorders>
      </w:tcPr>
    </w:tblStylePr>
    <w:tblStylePr w:type="firstCol">
      <w:rPr>
        <w:b/>
        <w:bCs/>
      </w:rPr>
    </w:tblStylePr>
    <w:tblStylePr w:type="lastCol">
      <w:rPr>
        <w:b/>
        <w:bCs/>
      </w:rPr>
    </w:tblStylePr>
    <w:tblStylePr w:type="band1Vert">
      <w:tblPr/>
      <w:tcPr>
        <w:tcBorders>
          <w:top w:val="single" w:sz="8" w:space="0" w:color="FFE512" w:themeColor="accent5"/>
          <w:left w:val="single" w:sz="8" w:space="0" w:color="FFE512" w:themeColor="accent5"/>
          <w:bottom w:val="single" w:sz="8" w:space="0" w:color="FFE512" w:themeColor="accent5"/>
          <w:right w:val="single" w:sz="8" w:space="0" w:color="FFE512" w:themeColor="accent5"/>
        </w:tcBorders>
      </w:tcPr>
    </w:tblStylePr>
    <w:tblStylePr w:type="band1Horz">
      <w:tblPr/>
      <w:tcPr>
        <w:tcBorders>
          <w:top w:val="single" w:sz="8" w:space="0" w:color="FFE512" w:themeColor="accent5"/>
          <w:left w:val="single" w:sz="8" w:space="0" w:color="FFE512" w:themeColor="accent5"/>
          <w:bottom w:val="single" w:sz="8" w:space="0" w:color="FFE512" w:themeColor="accent5"/>
          <w:right w:val="single" w:sz="8" w:space="0" w:color="FFE512" w:themeColor="accent5"/>
        </w:tcBorders>
      </w:tcPr>
    </w:tblStylePr>
  </w:style>
  <w:style w:type="table" w:customStyle="1" w:styleId="LightList-Accent61">
    <w:name w:val="Light List - Accent 61"/>
    <w:basedOn w:val="TableNormal"/>
    <w:next w:val="LightList-Accent6"/>
    <w:uiPriority w:val="61"/>
    <w:semiHidden/>
    <w:unhideWhenUsed/>
    <w:rsid w:val="00826421"/>
    <w:tblPr>
      <w:tblStyleRowBandSize w:val="1"/>
      <w:tblStyleColBandSize w:val="1"/>
      <w:tblInd w:w="0" w:type="dxa"/>
      <w:tblBorders>
        <w:top w:val="single" w:sz="8" w:space="0" w:color="8C8279" w:themeColor="accent6"/>
        <w:left w:val="single" w:sz="8" w:space="0" w:color="8C8279" w:themeColor="accent6"/>
        <w:bottom w:val="single" w:sz="8" w:space="0" w:color="8C8279" w:themeColor="accent6"/>
        <w:right w:val="single" w:sz="8" w:space="0" w:color="8C8279"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C8279" w:themeFill="accent6"/>
      </w:tcPr>
    </w:tblStylePr>
    <w:tblStylePr w:type="lastRow">
      <w:pPr>
        <w:spacing w:before="0" w:after="0" w:line="240" w:lineRule="auto"/>
      </w:pPr>
      <w:rPr>
        <w:b/>
        <w:bCs/>
      </w:rPr>
      <w:tblPr/>
      <w:tcPr>
        <w:tcBorders>
          <w:top w:val="double" w:sz="6" w:space="0" w:color="8C8279" w:themeColor="accent6"/>
          <w:left w:val="single" w:sz="8" w:space="0" w:color="8C8279" w:themeColor="accent6"/>
          <w:bottom w:val="single" w:sz="8" w:space="0" w:color="8C8279" w:themeColor="accent6"/>
          <w:right w:val="single" w:sz="8" w:space="0" w:color="8C8279" w:themeColor="accent6"/>
        </w:tcBorders>
      </w:tcPr>
    </w:tblStylePr>
    <w:tblStylePr w:type="firstCol">
      <w:rPr>
        <w:b/>
        <w:bCs/>
      </w:rPr>
    </w:tblStylePr>
    <w:tblStylePr w:type="lastCol">
      <w:rPr>
        <w:b/>
        <w:bCs/>
      </w:rPr>
    </w:tblStylePr>
    <w:tblStylePr w:type="band1Vert">
      <w:tblPr/>
      <w:tcPr>
        <w:tcBorders>
          <w:top w:val="single" w:sz="8" w:space="0" w:color="8C8279" w:themeColor="accent6"/>
          <w:left w:val="single" w:sz="8" w:space="0" w:color="8C8279" w:themeColor="accent6"/>
          <w:bottom w:val="single" w:sz="8" w:space="0" w:color="8C8279" w:themeColor="accent6"/>
          <w:right w:val="single" w:sz="8" w:space="0" w:color="8C8279" w:themeColor="accent6"/>
        </w:tcBorders>
      </w:tcPr>
    </w:tblStylePr>
    <w:tblStylePr w:type="band1Horz">
      <w:tblPr/>
      <w:tcPr>
        <w:tcBorders>
          <w:top w:val="single" w:sz="8" w:space="0" w:color="8C8279" w:themeColor="accent6"/>
          <w:left w:val="single" w:sz="8" w:space="0" w:color="8C8279" w:themeColor="accent6"/>
          <w:bottom w:val="single" w:sz="8" w:space="0" w:color="8C8279" w:themeColor="accent6"/>
          <w:right w:val="single" w:sz="8" w:space="0" w:color="8C8279" w:themeColor="accent6"/>
        </w:tcBorders>
      </w:tcPr>
    </w:tblStylePr>
  </w:style>
  <w:style w:type="table" w:customStyle="1" w:styleId="LightShading1">
    <w:name w:val="Light Shading1"/>
    <w:basedOn w:val="TableNormal"/>
    <w:next w:val="LightShading"/>
    <w:uiPriority w:val="60"/>
    <w:semiHidden/>
    <w:unhideWhenUsed/>
    <w:rsid w:val="00826421"/>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next w:val="LightShading-Accent1"/>
    <w:uiPriority w:val="60"/>
    <w:semiHidden/>
    <w:unhideWhenUsed/>
    <w:rsid w:val="00826421"/>
    <w:rPr>
      <w:color w:val="0087A9" w:themeColor="accent1" w:themeShade="BF"/>
    </w:rPr>
    <w:tblPr>
      <w:tblStyleRowBandSize w:val="1"/>
      <w:tblStyleColBandSize w:val="1"/>
      <w:tblInd w:w="0" w:type="dxa"/>
      <w:tblBorders>
        <w:top w:val="single" w:sz="8" w:space="0" w:color="00B5E2" w:themeColor="accent1"/>
        <w:bottom w:val="single" w:sz="8" w:space="0" w:color="00B5E2"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B5E2" w:themeColor="accent1"/>
          <w:left w:val="nil"/>
          <w:bottom w:val="single" w:sz="8" w:space="0" w:color="00B5E2" w:themeColor="accent1"/>
          <w:right w:val="nil"/>
          <w:insideH w:val="nil"/>
          <w:insideV w:val="nil"/>
        </w:tcBorders>
      </w:tcPr>
    </w:tblStylePr>
    <w:tblStylePr w:type="lastRow">
      <w:pPr>
        <w:spacing w:before="0" w:after="0" w:line="240" w:lineRule="auto"/>
      </w:pPr>
      <w:rPr>
        <w:b/>
        <w:bCs/>
      </w:rPr>
      <w:tblPr/>
      <w:tcPr>
        <w:tcBorders>
          <w:top w:val="single" w:sz="8" w:space="0" w:color="00B5E2" w:themeColor="accent1"/>
          <w:left w:val="nil"/>
          <w:bottom w:val="single" w:sz="8" w:space="0" w:color="00B5E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8F0FF" w:themeFill="accent1" w:themeFillTint="3F"/>
      </w:tcPr>
    </w:tblStylePr>
    <w:tblStylePr w:type="band1Horz">
      <w:tblPr/>
      <w:tcPr>
        <w:tcBorders>
          <w:left w:val="nil"/>
          <w:right w:val="nil"/>
          <w:insideH w:val="nil"/>
          <w:insideV w:val="nil"/>
        </w:tcBorders>
        <w:shd w:val="clear" w:color="auto" w:fill="B8F0FF" w:themeFill="accent1" w:themeFillTint="3F"/>
      </w:tcPr>
    </w:tblStylePr>
  </w:style>
  <w:style w:type="table" w:customStyle="1" w:styleId="LightShading-Accent21">
    <w:name w:val="Light Shading - Accent 21"/>
    <w:basedOn w:val="TableNormal"/>
    <w:next w:val="LightShading-Accent2"/>
    <w:uiPriority w:val="60"/>
    <w:semiHidden/>
    <w:unhideWhenUsed/>
    <w:rsid w:val="00826421"/>
    <w:rPr>
      <w:color w:val="628D00" w:themeColor="accent2" w:themeShade="BF"/>
    </w:rPr>
    <w:tblPr>
      <w:tblStyleRowBandSize w:val="1"/>
      <w:tblStyleColBandSize w:val="1"/>
      <w:tblInd w:w="0" w:type="dxa"/>
      <w:tblBorders>
        <w:top w:val="single" w:sz="8" w:space="0" w:color="84BD00" w:themeColor="accent2"/>
        <w:bottom w:val="single" w:sz="8" w:space="0" w:color="84BD00"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4BD00" w:themeColor="accent2"/>
          <w:left w:val="nil"/>
          <w:bottom w:val="single" w:sz="8" w:space="0" w:color="84BD00" w:themeColor="accent2"/>
          <w:right w:val="nil"/>
          <w:insideH w:val="nil"/>
          <w:insideV w:val="nil"/>
        </w:tcBorders>
      </w:tcPr>
    </w:tblStylePr>
    <w:tblStylePr w:type="lastRow">
      <w:pPr>
        <w:spacing w:before="0" w:after="0" w:line="240" w:lineRule="auto"/>
      </w:pPr>
      <w:rPr>
        <w:b/>
        <w:bCs/>
      </w:rPr>
      <w:tblPr/>
      <w:tcPr>
        <w:tcBorders>
          <w:top w:val="single" w:sz="8" w:space="0" w:color="84BD00" w:themeColor="accent2"/>
          <w:left w:val="nil"/>
          <w:bottom w:val="single" w:sz="8" w:space="0" w:color="84BD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FFAF" w:themeFill="accent2" w:themeFillTint="3F"/>
      </w:tcPr>
    </w:tblStylePr>
    <w:tblStylePr w:type="band1Horz">
      <w:tblPr/>
      <w:tcPr>
        <w:tcBorders>
          <w:left w:val="nil"/>
          <w:right w:val="nil"/>
          <w:insideH w:val="nil"/>
          <w:insideV w:val="nil"/>
        </w:tcBorders>
        <w:shd w:val="clear" w:color="auto" w:fill="E7FFAF" w:themeFill="accent2" w:themeFillTint="3F"/>
      </w:tcPr>
    </w:tblStylePr>
  </w:style>
  <w:style w:type="table" w:customStyle="1" w:styleId="LightShading-Accent31">
    <w:name w:val="Light Shading - Accent 31"/>
    <w:basedOn w:val="TableNormal"/>
    <w:next w:val="LightShading-Accent3"/>
    <w:uiPriority w:val="60"/>
    <w:semiHidden/>
    <w:unhideWhenUsed/>
    <w:rsid w:val="00826421"/>
    <w:rPr>
      <w:color w:val="C76808" w:themeColor="accent3" w:themeShade="BF"/>
    </w:rPr>
    <w:tblPr>
      <w:tblStyleRowBandSize w:val="1"/>
      <w:tblStyleColBandSize w:val="1"/>
      <w:tblInd w:w="0" w:type="dxa"/>
      <w:tblBorders>
        <w:top w:val="single" w:sz="8" w:space="0" w:color="F68B1F" w:themeColor="accent3"/>
        <w:bottom w:val="single" w:sz="8" w:space="0" w:color="F68B1F"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68B1F" w:themeColor="accent3"/>
          <w:left w:val="nil"/>
          <w:bottom w:val="single" w:sz="8" w:space="0" w:color="F68B1F" w:themeColor="accent3"/>
          <w:right w:val="nil"/>
          <w:insideH w:val="nil"/>
          <w:insideV w:val="nil"/>
        </w:tcBorders>
      </w:tcPr>
    </w:tblStylePr>
    <w:tblStylePr w:type="lastRow">
      <w:pPr>
        <w:spacing w:before="0" w:after="0" w:line="240" w:lineRule="auto"/>
      </w:pPr>
      <w:rPr>
        <w:b/>
        <w:bCs/>
      </w:rPr>
      <w:tblPr/>
      <w:tcPr>
        <w:tcBorders>
          <w:top w:val="single" w:sz="8" w:space="0" w:color="F68B1F" w:themeColor="accent3"/>
          <w:left w:val="nil"/>
          <w:bottom w:val="single" w:sz="8" w:space="0" w:color="F68B1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2C7" w:themeFill="accent3" w:themeFillTint="3F"/>
      </w:tcPr>
    </w:tblStylePr>
    <w:tblStylePr w:type="band1Horz">
      <w:tblPr/>
      <w:tcPr>
        <w:tcBorders>
          <w:left w:val="nil"/>
          <w:right w:val="nil"/>
          <w:insideH w:val="nil"/>
          <w:insideV w:val="nil"/>
        </w:tcBorders>
        <w:shd w:val="clear" w:color="auto" w:fill="FCE2C7" w:themeFill="accent3" w:themeFillTint="3F"/>
      </w:tcPr>
    </w:tblStylePr>
  </w:style>
  <w:style w:type="table" w:customStyle="1" w:styleId="LightShading-Accent41">
    <w:name w:val="Light Shading - Accent 41"/>
    <w:basedOn w:val="TableNormal"/>
    <w:next w:val="LightShading-Accent4"/>
    <w:uiPriority w:val="60"/>
    <w:semiHidden/>
    <w:unhideWhenUsed/>
    <w:rsid w:val="00826421"/>
    <w:rPr>
      <w:color w:val="76005E" w:themeColor="accent4" w:themeShade="BF"/>
    </w:rPr>
    <w:tblPr>
      <w:tblStyleRowBandSize w:val="1"/>
      <w:tblStyleColBandSize w:val="1"/>
      <w:tblInd w:w="0" w:type="dxa"/>
      <w:tblBorders>
        <w:top w:val="single" w:sz="8" w:space="0" w:color="9E007E" w:themeColor="accent4"/>
        <w:bottom w:val="single" w:sz="8" w:space="0" w:color="9E007E"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E007E" w:themeColor="accent4"/>
          <w:left w:val="nil"/>
          <w:bottom w:val="single" w:sz="8" w:space="0" w:color="9E007E" w:themeColor="accent4"/>
          <w:right w:val="nil"/>
          <w:insideH w:val="nil"/>
          <w:insideV w:val="nil"/>
        </w:tcBorders>
      </w:tcPr>
    </w:tblStylePr>
    <w:tblStylePr w:type="lastRow">
      <w:pPr>
        <w:spacing w:before="0" w:after="0" w:line="240" w:lineRule="auto"/>
      </w:pPr>
      <w:rPr>
        <w:b/>
        <w:bCs/>
      </w:rPr>
      <w:tblPr/>
      <w:tcPr>
        <w:tcBorders>
          <w:top w:val="single" w:sz="8" w:space="0" w:color="9E007E" w:themeColor="accent4"/>
          <w:left w:val="nil"/>
          <w:bottom w:val="single" w:sz="8" w:space="0" w:color="9E007E"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A8ED" w:themeFill="accent4" w:themeFillTint="3F"/>
      </w:tcPr>
    </w:tblStylePr>
    <w:tblStylePr w:type="band1Horz">
      <w:tblPr/>
      <w:tcPr>
        <w:tcBorders>
          <w:left w:val="nil"/>
          <w:right w:val="nil"/>
          <w:insideH w:val="nil"/>
          <w:insideV w:val="nil"/>
        </w:tcBorders>
        <w:shd w:val="clear" w:color="auto" w:fill="FFA8ED" w:themeFill="accent4" w:themeFillTint="3F"/>
      </w:tcPr>
    </w:tblStylePr>
  </w:style>
  <w:style w:type="table" w:customStyle="1" w:styleId="LightShading-Accent51">
    <w:name w:val="Light Shading - Accent 51"/>
    <w:basedOn w:val="TableNormal"/>
    <w:next w:val="LightShading-Accent5"/>
    <w:uiPriority w:val="60"/>
    <w:semiHidden/>
    <w:unhideWhenUsed/>
    <w:rsid w:val="00826421"/>
    <w:rPr>
      <w:color w:val="CCB500" w:themeColor="accent5" w:themeShade="BF"/>
    </w:rPr>
    <w:tblPr>
      <w:tblStyleRowBandSize w:val="1"/>
      <w:tblStyleColBandSize w:val="1"/>
      <w:tblInd w:w="0" w:type="dxa"/>
      <w:tblBorders>
        <w:top w:val="single" w:sz="8" w:space="0" w:color="FFE512" w:themeColor="accent5"/>
        <w:bottom w:val="single" w:sz="8" w:space="0" w:color="FFE512"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E512" w:themeColor="accent5"/>
          <w:left w:val="nil"/>
          <w:bottom w:val="single" w:sz="8" w:space="0" w:color="FFE512" w:themeColor="accent5"/>
          <w:right w:val="nil"/>
          <w:insideH w:val="nil"/>
          <w:insideV w:val="nil"/>
        </w:tcBorders>
      </w:tcPr>
    </w:tblStylePr>
    <w:tblStylePr w:type="lastRow">
      <w:pPr>
        <w:spacing w:before="0" w:after="0" w:line="240" w:lineRule="auto"/>
      </w:pPr>
      <w:rPr>
        <w:b/>
        <w:bCs/>
      </w:rPr>
      <w:tblPr/>
      <w:tcPr>
        <w:tcBorders>
          <w:top w:val="single" w:sz="8" w:space="0" w:color="FFE512" w:themeColor="accent5"/>
          <w:left w:val="nil"/>
          <w:bottom w:val="single" w:sz="8" w:space="0" w:color="FFE512"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8C4" w:themeFill="accent5" w:themeFillTint="3F"/>
      </w:tcPr>
    </w:tblStylePr>
    <w:tblStylePr w:type="band1Horz">
      <w:tblPr/>
      <w:tcPr>
        <w:tcBorders>
          <w:left w:val="nil"/>
          <w:right w:val="nil"/>
          <w:insideH w:val="nil"/>
          <w:insideV w:val="nil"/>
        </w:tcBorders>
        <w:shd w:val="clear" w:color="auto" w:fill="FFF8C4" w:themeFill="accent5" w:themeFillTint="3F"/>
      </w:tcPr>
    </w:tblStylePr>
  </w:style>
  <w:style w:type="table" w:customStyle="1" w:styleId="LightShading-Accent61">
    <w:name w:val="Light Shading - Accent 61"/>
    <w:basedOn w:val="TableNormal"/>
    <w:next w:val="LightShading-Accent6"/>
    <w:uiPriority w:val="60"/>
    <w:semiHidden/>
    <w:unhideWhenUsed/>
    <w:rsid w:val="00826421"/>
    <w:rPr>
      <w:color w:val="69615A" w:themeColor="accent6" w:themeShade="BF"/>
    </w:rPr>
    <w:tblPr>
      <w:tblStyleRowBandSize w:val="1"/>
      <w:tblStyleColBandSize w:val="1"/>
      <w:tblInd w:w="0" w:type="dxa"/>
      <w:tblBorders>
        <w:top w:val="single" w:sz="8" w:space="0" w:color="8C8279" w:themeColor="accent6"/>
        <w:bottom w:val="single" w:sz="8" w:space="0" w:color="8C8279"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C8279" w:themeColor="accent6"/>
          <w:left w:val="nil"/>
          <w:bottom w:val="single" w:sz="8" w:space="0" w:color="8C8279" w:themeColor="accent6"/>
          <w:right w:val="nil"/>
          <w:insideH w:val="nil"/>
          <w:insideV w:val="nil"/>
        </w:tcBorders>
      </w:tcPr>
    </w:tblStylePr>
    <w:tblStylePr w:type="lastRow">
      <w:pPr>
        <w:spacing w:before="0" w:after="0" w:line="240" w:lineRule="auto"/>
      </w:pPr>
      <w:rPr>
        <w:b/>
        <w:bCs/>
      </w:rPr>
      <w:tblPr/>
      <w:tcPr>
        <w:tcBorders>
          <w:top w:val="single" w:sz="8" w:space="0" w:color="8C8279" w:themeColor="accent6"/>
          <w:left w:val="nil"/>
          <w:bottom w:val="single" w:sz="8" w:space="0" w:color="8C8279"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E0DD" w:themeFill="accent6" w:themeFillTint="3F"/>
      </w:tcPr>
    </w:tblStylePr>
    <w:tblStylePr w:type="band1Horz">
      <w:tblPr/>
      <w:tcPr>
        <w:tcBorders>
          <w:left w:val="nil"/>
          <w:right w:val="nil"/>
          <w:insideH w:val="nil"/>
          <w:insideV w:val="nil"/>
        </w:tcBorders>
        <w:shd w:val="clear" w:color="auto" w:fill="E2E0DD" w:themeFill="accent6" w:themeFillTint="3F"/>
      </w:tcPr>
    </w:tblStylePr>
  </w:style>
  <w:style w:type="table" w:customStyle="1" w:styleId="MediumGrid11">
    <w:name w:val="Medium Grid 11"/>
    <w:basedOn w:val="TableNormal"/>
    <w:next w:val="MediumGrid1"/>
    <w:uiPriority w:val="67"/>
    <w:semiHidden/>
    <w:unhideWhenUsed/>
    <w:rsid w:val="00826421"/>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1">
    <w:name w:val="Medium Grid 1 - Accent 11"/>
    <w:basedOn w:val="TableNormal"/>
    <w:next w:val="MediumGrid1-Accent1"/>
    <w:uiPriority w:val="67"/>
    <w:semiHidden/>
    <w:unhideWhenUsed/>
    <w:rsid w:val="00826421"/>
    <w:tblPr>
      <w:tblStyleRowBandSize w:val="1"/>
      <w:tblStyleColBandSize w:val="1"/>
      <w:tblInd w:w="0" w:type="dxa"/>
      <w:tblBorders>
        <w:top w:val="single" w:sz="8" w:space="0" w:color="2AD4FF" w:themeColor="accent1" w:themeTint="BF"/>
        <w:left w:val="single" w:sz="8" w:space="0" w:color="2AD4FF" w:themeColor="accent1" w:themeTint="BF"/>
        <w:bottom w:val="single" w:sz="8" w:space="0" w:color="2AD4FF" w:themeColor="accent1" w:themeTint="BF"/>
        <w:right w:val="single" w:sz="8" w:space="0" w:color="2AD4FF" w:themeColor="accent1" w:themeTint="BF"/>
        <w:insideH w:val="single" w:sz="8" w:space="0" w:color="2AD4FF" w:themeColor="accent1" w:themeTint="BF"/>
        <w:insideV w:val="single" w:sz="8" w:space="0" w:color="2AD4FF" w:themeColor="accent1" w:themeTint="BF"/>
      </w:tblBorders>
      <w:tblCellMar>
        <w:top w:w="0" w:type="dxa"/>
        <w:left w:w="108" w:type="dxa"/>
        <w:bottom w:w="0" w:type="dxa"/>
        <w:right w:w="108" w:type="dxa"/>
      </w:tblCellMar>
    </w:tblPr>
    <w:tcPr>
      <w:shd w:val="clear" w:color="auto" w:fill="B8F0FF" w:themeFill="accent1" w:themeFillTint="3F"/>
    </w:tcPr>
    <w:tblStylePr w:type="firstRow">
      <w:rPr>
        <w:b/>
        <w:bCs/>
      </w:rPr>
    </w:tblStylePr>
    <w:tblStylePr w:type="lastRow">
      <w:rPr>
        <w:b/>
        <w:bCs/>
      </w:rPr>
      <w:tblPr/>
      <w:tcPr>
        <w:tcBorders>
          <w:top w:val="single" w:sz="18" w:space="0" w:color="2AD4FF" w:themeColor="accent1" w:themeTint="BF"/>
        </w:tcBorders>
      </w:tcPr>
    </w:tblStylePr>
    <w:tblStylePr w:type="firstCol">
      <w:rPr>
        <w:b/>
        <w:bCs/>
      </w:rPr>
    </w:tblStylePr>
    <w:tblStylePr w:type="lastCol">
      <w:rPr>
        <w:b/>
        <w:bCs/>
      </w:rPr>
    </w:tblStylePr>
    <w:tblStylePr w:type="band1Vert">
      <w:tblPr/>
      <w:tcPr>
        <w:shd w:val="clear" w:color="auto" w:fill="71E2FF" w:themeFill="accent1" w:themeFillTint="7F"/>
      </w:tcPr>
    </w:tblStylePr>
    <w:tblStylePr w:type="band1Horz">
      <w:tblPr/>
      <w:tcPr>
        <w:shd w:val="clear" w:color="auto" w:fill="71E2FF" w:themeFill="accent1" w:themeFillTint="7F"/>
      </w:tcPr>
    </w:tblStylePr>
  </w:style>
  <w:style w:type="table" w:customStyle="1" w:styleId="MediumGrid1-Accent21">
    <w:name w:val="Medium Grid 1 - Accent 21"/>
    <w:basedOn w:val="TableNormal"/>
    <w:next w:val="MediumGrid1-Accent2"/>
    <w:uiPriority w:val="67"/>
    <w:semiHidden/>
    <w:unhideWhenUsed/>
    <w:rsid w:val="00826421"/>
    <w:tblPr>
      <w:tblStyleRowBandSize w:val="1"/>
      <w:tblStyleColBandSize w:val="1"/>
      <w:tblInd w:w="0" w:type="dxa"/>
      <w:tblBorders>
        <w:top w:val="single" w:sz="8" w:space="0" w:color="B6FF0E" w:themeColor="accent2" w:themeTint="BF"/>
        <w:left w:val="single" w:sz="8" w:space="0" w:color="B6FF0E" w:themeColor="accent2" w:themeTint="BF"/>
        <w:bottom w:val="single" w:sz="8" w:space="0" w:color="B6FF0E" w:themeColor="accent2" w:themeTint="BF"/>
        <w:right w:val="single" w:sz="8" w:space="0" w:color="B6FF0E" w:themeColor="accent2" w:themeTint="BF"/>
        <w:insideH w:val="single" w:sz="8" w:space="0" w:color="B6FF0E" w:themeColor="accent2" w:themeTint="BF"/>
        <w:insideV w:val="single" w:sz="8" w:space="0" w:color="B6FF0E" w:themeColor="accent2" w:themeTint="BF"/>
      </w:tblBorders>
      <w:tblCellMar>
        <w:top w:w="0" w:type="dxa"/>
        <w:left w:w="108" w:type="dxa"/>
        <w:bottom w:w="0" w:type="dxa"/>
        <w:right w:w="108" w:type="dxa"/>
      </w:tblCellMar>
    </w:tblPr>
    <w:tcPr>
      <w:shd w:val="clear" w:color="auto" w:fill="E7FFAF" w:themeFill="accent2" w:themeFillTint="3F"/>
    </w:tcPr>
    <w:tblStylePr w:type="firstRow">
      <w:rPr>
        <w:b/>
        <w:bCs/>
      </w:rPr>
    </w:tblStylePr>
    <w:tblStylePr w:type="lastRow">
      <w:rPr>
        <w:b/>
        <w:bCs/>
      </w:rPr>
      <w:tblPr/>
      <w:tcPr>
        <w:tcBorders>
          <w:top w:val="single" w:sz="18" w:space="0" w:color="B6FF0E" w:themeColor="accent2" w:themeTint="BF"/>
        </w:tcBorders>
      </w:tcPr>
    </w:tblStylePr>
    <w:tblStylePr w:type="firstCol">
      <w:rPr>
        <w:b/>
        <w:bCs/>
      </w:rPr>
    </w:tblStylePr>
    <w:tblStylePr w:type="lastCol">
      <w:rPr>
        <w:b/>
        <w:bCs/>
      </w:rPr>
    </w:tblStylePr>
    <w:tblStylePr w:type="band1Vert">
      <w:tblPr/>
      <w:tcPr>
        <w:shd w:val="clear" w:color="auto" w:fill="CEFF5F" w:themeFill="accent2" w:themeFillTint="7F"/>
      </w:tcPr>
    </w:tblStylePr>
    <w:tblStylePr w:type="band1Horz">
      <w:tblPr/>
      <w:tcPr>
        <w:shd w:val="clear" w:color="auto" w:fill="CEFF5F" w:themeFill="accent2" w:themeFillTint="7F"/>
      </w:tcPr>
    </w:tblStylePr>
  </w:style>
  <w:style w:type="table" w:customStyle="1" w:styleId="MediumGrid1-Accent31">
    <w:name w:val="Medium Grid 1 - Accent 31"/>
    <w:basedOn w:val="TableNormal"/>
    <w:next w:val="MediumGrid1-Accent3"/>
    <w:uiPriority w:val="67"/>
    <w:semiHidden/>
    <w:unhideWhenUsed/>
    <w:rsid w:val="00826421"/>
    <w:tblPr>
      <w:tblStyleRowBandSize w:val="1"/>
      <w:tblStyleColBandSize w:val="1"/>
      <w:tblInd w:w="0" w:type="dxa"/>
      <w:tblBorders>
        <w:top w:val="single" w:sz="8" w:space="0" w:color="F8A757" w:themeColor="accent3" w:themeTint="BF"/>
        <w:left w:val="single" w:sz="8" w:space="0" w:color="F8A757" w:themeColor="accent3" w:themeTint="BF"/>
        <w:bottom w:val="single" w:sz="8" w:space="0" w:color="F8A757" w:themeColor="accent3" w:themeTint="BF"/>
        <w:right w:val="single" w:sz="8" w:space="0" w:color="F8A757" w:themeColor="accent3" w:themeTint="BF"/>
        <w:insideH w:val="single" w:sz="8" w:space="0" w:color="F8A757" w:themeColor="accent3" w:themeTint="BF"/>
        <w:insideV w:val="single" w:sz="8" w:space="0" w:color="F8A757" w:themeColor="accent3" w:themeTint="BF"/>
      </w:tblBorders>
      <w:tblCellMar>
        <w:top w:w="0" w:type="dxa"/>
        <w:left w:w="108" w:type="dxa"/>
        <w:bottom w:w="0" w:type="dxa"/>
        <w:right w:w="108" w:type="dxa"/>
      </w:tblCellMar>
    </w:tblPr>
    <w:tcPr>
      <w:shd w:val="clear" w:color="auto" w:fill="FCE2C7" w:themeFill="accent3" w:themeFillTint="3F"/>
    </w:tcPr>
    <w:tblStylePr w:type="firstRow">
      <w:rPr>
        <w:b/>
        <w:bCs/>
      </w:rPr>
    </w:tblStylePr>
    <w:tblStylePr w:type="lastRow">
      <w:rPr>
        <w:b/>
        <w:bCs/>
      </w:rPr>
      <w:tblPr/>
      <w:tcPr>
        <w:tcBorders>
          <w:top w:val="single" w:sz="18" w:space="0" w:color="F8A757" w:themeColor="accent3" w:themeTint="BF"/>
        </w:tcBorders>
      </w:tcPr>
    </w:tblStylePr>
    <w:tblStylePr w:type="firstCol">
      <w:rPr>
        <w:b/>
        <w:bCs/>
      </w:rPr>
    </w:tblStylePr>
    <w:tblStylePr w:type="lastCol">
      <w:rPr>
        <w:b/>
        <w:bCs/>
      </w:rPr>
    </w:tblStylePr>
    <w:tblStylePr w:type="band1Vert">
      <w:tblPr/>
      <w:tcPr>
        <w:shd w:val="clear" w:color="auto" w:fill="FAC58F" w:themeFill="accent3" w:themeFillTint="7F"/>
      </w:tcPr>
    </w:tblStylePr>
    <w:tblStylePr w:type="band1Horz">
      <w:tblPr/>
      <w:tcPr>
        <w:shd w:val="clear" w:color="auto" w:fill="FAC58F" w:themeFill="accent3" w:themeFillTint="7F"/>
      </w:tcPr>
    </w:tblStylePr>
  </w:style>
  <w:style w:type="table" w:customStyle="1" w:styleId="MediumGrid1-Accent41">
    <w:name w:val="Medium Grid 1 - Accent 41"/>
    <w:basedOn w:val="TableNormal"/>
    <w:next w:val="MediumGrid1-Accent4"/>
    <w:uiPriority w:val="67"/>
    <w:semiHidden/>
    <w:unhideWhenUsed/>
    <w:rsid w:val="00826421"/>
    <w:tblPr>
      <w:tblStyleRowBandSize w:val="1"/>
      <w:tblStyleColBandSize w:val="1"/>
      <w:tblInd w:w="0" w:type="dxa"/>
      <w:tblBorders>
        <w:top w:val="single" w:sz="8" w:space="0" w:color="F600C4" w:themeColor="accent4" w:themeTint="BF"/>
        <w:left w:val="single" w:sz="8" w:space="0" w:color="F600C4" w:themeColor="accent4" w:themeTint="BF"/>
        <w:bottom w:val="single" w:sz="8" w:space="0" w:color="F600C4" w:themeColor="accent4" w:themeTint="BF"/>
        <w:right w:val="single" w:sz="8" w:space="0" w:color="F600C4" w:themeColor="accent4" w:themeTint="BF"/>
        <w:insideH w:val="single" w:sz="8" w:space="0" w:color="F600C4" w:themeColor="accent4" w:themeTint="BF"/>
        <w:insideV w:val="single" w:sz="8" w:space="0" w:color="F600C4" w:themeColor="accent4" w:themeTint="BF"/>
      </w:tblBorders>
      <w:tblCellMar>
        <w:top w:w="0" w:type="dxa"/>
        <w:left w:w="108" w:type="dxa"/>
        <w:bottom w:w="0" w:type="dxa"/>
        <w:right w:w="108" w:type="dxa"/>
      </w:tblCellMar>
    </w:tblPr>
    <w:tcPr>
      <w:shd w:val="clear" w:color="auto" w:fill="FFA8ED" w:themeFill="accent4" w:themeFillTint="3F"/>
    </w:tcPr>
    <w:tblStylePr w:type="firstRow">
      <w:rPr>
        <w:b/>
        <w:bCs/>
      </w:rPr>
    </w:tblStylePr>
    <w:tblStylePr w:type="lastRow">
      <w:rPr>
        <w:b/>
        <w:bCs/>
      </w:rPr>
      <w:tblPr/>
      <w:tcPr>
        <w:tcBorders>
          <w:top w:val="single" w:sz="18" w:space="0" w:color="F600C4" w:themeColor="accent4" w:themeTint="BF"/>
        </w:tcBorders>
      </w:tcPr>
    </w:tblStylePr>
    <w:tblStylePr w:type="firstCol">
      <w:rPr>
        <w:b/>
        <w:bCs/>
      </w:rPr>
    </w:tblStylePr>
    <w:tblStylePr w:type="lastCol">
      <w:rPr>
        <w:b/>
        <w:bCs/>
      </w:rPr>
    </w:tblStylePr>
    <w:tblStylePr w:type="band1Vert">
      <w:tblPr/>
      <w:tcPr>
        <w:shd w:val="clear" w:color="auto" w:fill="FF4FDB" w:themeFill="accent4" w:themeFillTint="7F"/>
      </w:tcPr>
    </w:tblStylePr>
    <w:tblStylePr w:type="band1Horz">
      <w:tblPr/>
      <w:tcPr>
        <w:shd w:val="clear" w:color="auto" w:fill="FF4FDB" w:themeFill="accent4" w:themeFillTint="7F"/>
      </w:tcPr>
    </w:tblStylePr>
  </w:style>
  <w:style w:type="table" w:customStyle="1" w:styleId="MediumGrid1-Accent51">
    <w:name w:val="Medium Grid 1 - Accent 51"/>
    <w:basedOn w:val="TableNormal"/>
    <w:next w:val="MediumGrid1-Accent5"/>
    <w:uiPriority w:val="67"/>
    <w:semiHidden/>
    <w:unhideWhenUsed/>
    <w:rsid w:val="00826421"/>
    <w:tblPr>
      <w:tblStyleRowBandSize w:val="1"/>
      <w:tblStyleColBandSize w:val="1"/>
      <w:tblInd w:w="0" w:type="dxa"/>
      <w:tblBorders>
        <w:top w:val="single" w:sz="8" w:space="0" w:color="FFEB4D" w:themeColor="accent5" w:themeTint="BF"/>
        <w:left w:val="single" w:sz="8" w:space="0" w:color="FFEB4D" w:themeColor="accent5" w:themeTint="BF"/>
        <w:bottom w:val="single" w:sz="8" w:space="0" w:color="FFEB4D" w:themeColor="accent5" w:themeTint="BF"/>
        <w:right w:val="single" w:sz="8" w:space="0" w:color="FFEB4D" w:themeColor="accent5" w:themeTint="BF"/>
        <w:insideH w:val="single" w:sz="8" w:space="0" w:color="FFEB4D" w:themeColor="accent5" w:themeTint="BF"/>
        <w:insideV w:val="single" w:sz="8" w:space="0" w:color="FFEB4D" w:themeColor="accent5" w:themeTint="BF"/>
      </w:tblBorders>
      <w:tblCellMar>
        <w:top w:w="0" w:type="dxa"/>
        <w:left w:w="108" w:type="dxa"/>
        <w:bottom w:w="0" w:type="dxa"/>
        <w:right w:w="108" w:type="dxa"/>
      </w:tblCellMar>
    </w:tblPr>
    <w:tcPr>
      <w:shd w:val="clear" w:color="auto" w:fill="FFF8C4" w:themeFill="accent5" w:themeFillTint="3F"/>
    </w:tcPr>
    <w:tblStylePr w:type="firstRow">
      <w:rPr>
        <w:b/>
        <w:bCs/>
      </w:rPr>
    </w:tblStylePr>
    <w:tblStylePr w:type="lastRow">
      <w:rPr>
        <w:b/>
        <w:bCs/>
      </w:rPr>
      <w:tblPr/>
      <w:tcPr>
        <w:tcBorders>
          <w:top w:val="single" w:sz="18" w:space="0" w:color="FFEB4D" w:themeColor="accent5" w:themeTint="BF"/>
        </w:tcBorders>
      </w:tcPr>
    </w:tblStylePr>
    <w:tblStylePr w:type="firstCol">
      <w:rPr>
        <w:b/>
        <w:bCs/>
      </w:rPr>
    </w:tblStylePr>
    <w:tblStylePr w:type="lastCol">
      <w:rPr>
        <w:b/>
        <w:bCs/>
      </w:rPr>
    </w:tblStylePr>
    <w:tblStylePr w:type="band1Vert">
      <w:tblPr/>
      <w:tcPr>
        <w:shd w:val="clear" w:color="auto" w:fill="FFF288" w:themeFill="accent5" w:themeFillTint="7F"/>
      </w:tcPr>
    </w:tblStylePr>
    <w:tblStylePr w:type="band1Horz">
      <w:tblPr/>
      <w:tcPr>
        <w:shd w:val="clear" w:color="auto" w:fill="FFF288" w:themeFill="accent5" w:themeFillTint="7F"/>
      </w:tcPr>
    </w:tblStylePr>
  </w:style>
  <w:style w:type="table" w:customStyle="1" w:styleId="MediumGrid1-Accent61">
    <w:name w:val="Medium Grid 1 - Accent 61"/>
    <w:basedOn w:val="TableNormal"/>
    <w:next w:val="MediumGrid1-Accent6"/>
    <w:uiPriority w:val="67"/>
    <w:semiHidden/>
    <w:unhideWhenUsed/>
    <w:rsid w:val="00826421"/>
    <w:tblPr>
      <w:tblStyleRowBandSize w:val="1"/>
      <w:tblStyleColBandSize w:val="1"/>
      <w:tblInd w:w="0" w:type="dxa"/>
      <w:tblBorders>
        <w:top w:val="single" w:sz="8" w:space="0" w:color="A8A19A" w:themeColor="accent6" w:themeTint="BF"/>
        <w:left w:val="single" w:sz="8" w:space="0" w:color="A8A19A" w:themeColor="accent6" w:themeTint="BF"/>
        <w:bottom w:val="single" w:sz="8" w:space="0" w:color="A8A19A" w:themeColor="accent6" w:themeTint="BF"/>
        <w:right w:val="single" w:sz="8" w:space="0" w:color="A8A19A" w:themeColor="accent6" w:themeTint="BF"/>
        <w:insideH w:val="single" w:sz="8" w:space="0" w:color="A8A19A" w:themeColor="accent6" w:themeTint="BF"/>
        <w:insideV w:val="single" w:sz="8" w:space="0" w:color="A8A19A" w:themeColor="accent6" w:themeTint="BF"/>
      </w:tblBorders>
      <w:tblCellMar>
        <w:top w:w="0" w:type="dxa"/>
        <w:left w:w="108" w:type="dxa"/>
        <w:bottom w:w="0" w:type="dxa"/>
        <w:right w:w="108" w:type="dxa"/>
      </w:tblCellMar>
    </w:tblPr>
    <w:tcPr>
      <w:shd w:val="clear" w:color="auto" w:fill="E2E0DD" w:themeFill="accent6" w:themeFillTint="3F"/>
    </w:tcPr>
    <w:tblStylePr w:type="firstRow">
      <w:rPr>
        <w:b/>
        <w:bCs/>
      </w:rPr>
    </w:tblStylePr>
    <w:tblStylePr w:type="lastRow">
      <w:rPr>
        <w:b/>
        <w:bCs/>
      </w:rPr>
      <w:tblPr/>
      <w:tcPr>
        <w:tcBorders>
          <w:top w:val="single" w:sz="18" w:space="0" w:color="A8A19A" w:themeColor="accent6" w:themeTint="BF"/>
        </w:tcBorders>
      </w:tcPr>
    </w:tblStylePr>
    <w:tblStylePr w:type="firstCol">
      <w:rPr>
        <w:b/>
        <w:bCs/>
      </w:rPr>
    </w:tblStylePr>
    <w:tblStylePr w:type="lastCol">
      <w:rPr>
        <w:b/>
        <w:bCs/>
      </w:rPr>
    </w:tblStylePr>
    <w:tblStylePr w:type="band1Vert">
      <w:tblPr/>
      <w:tcPr>
        <w:shd w:val="clear" w:color="auto" w:fill="C5C0BC" w:themeFill="accent6" w:themeFillTint="7F"/>
      </w:tcPr>
    </w:tblStylePr>
    <w:tblStylePr w:type="band1Horz">
      <w:tblPr/>
      <w:tcPr>
        <w:shd w:val="clear" w:color="auto" w:fill="C5C0BC" w:themeFill="accent6" w:themeFillTint="7F"/>
      </w:tcPr>
    </w:tblStylePr>
  </w:style>
  <w:style w:type="table" w:customStyle="1" w:styleId="MediumGrid21">
    <w:name w:val="Medium Grid 21"/>
    <w:basedOn w:val="TableNormal"/>
    <w:next w:val="MediumGrid2"/>
    <w:uiPriority w:val="68"/>
    <w:semiHidden/>
    <w:unhideWhenUsed/>
    <w:rsid w:val="00826421"/>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1">
    <w:name w:val="Medium Grid 2 - Accent 11"/>
    <w:basedOn w:val="TableNormal"/>
    <w:next w:val="MediumGrid2-Accent1"/>
    <w:uiPriority w:val="68"/>
    <w:semiHidden/>
    <w:unhideWhenUsed/>
    <w:rsid w:val="00826421"/>
    <w:rPr>
      <w:rFonts w:asciiTheme="majorHAnsi" w:eastAsiaTheme="majorEastAsia" w:hAnsiTheme="majorHAnsi" w:cstheme="majorBidi"/>
      <w:color w:val="000000" w:themeColor="text1"/>
    </w:rPr>
    <w:tblPr>
      <w:tblStyleRowBandSize w:val="1"/>
      <w:tblStyleColBandSize w:val="1"/>
      <w:tblInd w:w="0" w:type="dxa"/>
      <w:tblBorders>
        <w:top w:val="single" w:sz="8" w:space="0" w:color="00B5E2" w:themeColor="accent1"/>
        <w:left w:val="single" w:sz="8" w:space="0" w:color="00B5E2" w:themeColor="accent1"/>
        <w:bottom w:val="single" w:sz="8" w:space="0" w:color="00B5E2" w:themeColor="accent1"/>
        <w:right w:val="single" w:sz="8" w:space="0" w:color="00B5E2" w:themeColor="accent1"/>
        <w:insideH w:val="single" w:sz="8" w:space="0" w:color="00B5E2" w:themeColor="accent1"/>
        <w:insideV w:val="single" w:sz="8" w:space="0" w:color="00B5E2" w:themeColor="accent1"/>
      </w:tblBorders>
      <w:tblCellMar>
        <w:top w:w="0" w:type="dxa"/>
        <w:left w:w="108" w:type="dxa"/>
        <w:bottom w:w="0" w:type="dxa"/>
        <w:right w:w="108" w:type="dxa"/>
      </w:tblCellMar>
    </w:tblPr>
    <w:tcPr>
      <w:shd w:val="clear" w:color="auto" w:fill="B8F0FF" w:themeFill="accent1" w:themeFillTint="3F"/>
    </w:tcPr>
    <w:tblStylePr w:type="firstRow">
      <w:rPr>
        <w:b/>
        <w:bCs/>
        <w:color w:val="000000" w:themeColor="text1"/>
      </w:rPr>
      <w:tblPr/>
      <w:tcPr>
        <w:shd w:val="clear" w:color="auto" w:fill="E3F9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3FF" w:themeFill="accent1" w:themeFillTint="33"/>
      </w:tcPr>
    </w:tblStylePr>
    <w:tblStylePr w:type="band1Vert">
      <w:tblPr/>
      <w:tcPr>
        <w:shd w:val="clear" w:color="auto" w:fill="71E2FF" w:themeFill="accent1" w:themeFillTint="7F"/>
      </w:tcPr>
    </w:tblStylePr>
    <w:tblStylePr w:type="band1Horz">
      <w:tblPr/>
      <w:tcPr>
        <w:tcBorders>
          <w:insideH w:val="single" w:sz="6" w:space="0" w:color="00B5E2" w:themeColor="accent1"/>
          <w:insideV w:val="single" w:sz="6" w:space="0" w:color="00B5E2" w:themeColor="accent1"/>
        </w:tcBorders>
        <w:shd w:val="clear" w:color="auto" w:fill="71E2FF" w:themeFill="accent1" w:themeFillTint="7F"/>
      </w:tcPr>
    </w:tblStylePr>
    <w:tblStylePr w:type="nwCell">
      <w:tblPr/>
      <w:tcPr>
        <w:shd w:val="clear" w:color="auto" w:fill="FFFFFF" w:themeFill="background1"/>
      </w:tcPr>
    </w:tblStylePr>
  </w:style>
  <w:style w:type="table" w:customStyle="1" w:styleId="MediumGrid2-Accent21">
    <w:name w:val="Medium Grid 2 - Accent 21"/>
    <w:basedOn w:val="TableNormal"/>
    <w:next w:val="MediumGrid2-Accent2"/>
    <w:uiPriority w:val="68"/>
    <w:semiHidden/>
    <w:unhideWhenUsed/>
    <w:rsid w:val="00826421"/>
    <w:rPr>
      <w:rFonts w:asciiTheme="majorHAnsi" w:eastAsiaTheme="majorEastAsia" w:hAnsiTheme="majorHAnsi" w:cstheme="majorBidi"/>
      <w:color w:val="000000" w:themeColor="text1"/>
    </w:rPr>
    <w:tblPr>
      <w:tblStyleRowBandSize w:val="1"/>
      <w:tblStyleColBandSize w:val="1"/>
      <w:tblInd w:w="0" w:type="dxa"/>
      <w:tblBorders>
        <w:top w:val="single" w:sz="8" w:space="0" w:color="84BD00" w:themeColor="accent2"/>
        <w:left w:val="single" w:sz="8" w:space="0" w:color="84BD00" w:themeColor="accent2"/>
        <w:bottom w:val="single" w:sz="8" w:space="0" w:color="84BD00" w:themeColor="accent2"/>
        <w:right w:val="single" w:sz="8" w:space="0" w:color="84BD00" w:themeColor="accent2"/>
        <w:insideH w:val="single" w:sz="8" w:space="0" w:color="84BD00" w:themeColor="accent2"/>
        <w:insideV w:val="single" w:sz="8" w:space="0" w:color="84BD00" w:themeColor="accent2"/>
      </w:tblBorders>
      <w:tblCellMar>
        <w:top w:w="0" w:type="dxa"/>
        <w:left w:w="108" w:type="dxa"/>
        <w:bottom w:w="0" w:type="dxa"/>
        <w:right w:w="108" w:type="dxa"/>
      </w:tblCellMar>
    </w:tblPr>
    <w:tcPr>
      <w:shd w:val="clear" w:color="auto" w:fill="E7FFAF" w:themeFill="accent2" w:themeFillTint="3F"/>
    </w:tcPr>
    <w:tblStylePr w:type="firstRow">
      <w:rPr>
        <w:b/>
        <w:bCs/>
        <w:color w:val="000000" w:themeColor="text1"/>
      </w:rPr>
      <w:tblPr/>
      <w:tcPr>
        <w:shd w:val="clear" w:color="auto" w:fill="F5F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FBE" w:themeFill="accent2" w:themeFillTint="33"/>
      </w:tcPr>
    </w:tblStylePr>
    <w:tblStylePr w:type="band1Vert">
      <w:tblPr/>
      <w:tcPr>
        <w:shd w:val="clear" w:color="auto" w:fill="CEFF5F" w:themeFill="accent2" w:themeFillTint="7F"/>
      </w:tcPr>
    </w:tblStylePr>
    <w:tblStylePr w:type="band1Horz">
      <w:tblPr/>
      <w:tcPr>
        <w:tcBorders>
          <w:insideH w:val="single" w:sz="6" w:space="0" w:color="84BD00" w:themeColor="accent2"/>
          <w:insideV w:val="single" w:sz="6" w:space="0" w:color="84BD00" w:themeColor="accent2"/>
        </w:tcBorders>
        <w:shd w:val="clear" w:color="auto" w:fill="CEFF5F" w:themeFill="accent2" w:themeFillTint="7F"/>
      </w:tcPr>
    </w:tblStylePr>
    <w:tblStylePr w:type="nwCell">
      <w:tblPr/>
      <w:tcPr>
        <w:shd w:val="clear" w:color="auto" w:fill="FFFFFF" w:themeFill="background1"/>
      </w:tcPr>
    </w:tblStylePr>
  </w:style>
  <w:style w:type="table" w:customStyle="1" w:styleId="MediumGrid2-Accent31">
    <w:name w:val="Medium Grid 2 - Accent 31"/>
    <w:basedOn w:val="TableNormal"/>
    <w:next w:val="MediumGrid2-Accent3"/>
    <w:uiPriority w:val="68"/>
    <w:semiHidden/>
    <w:unhideWhenUsed/>
    <w:rsid w:val="00826421"/>
    <w:rPr>
      <w:rFonts w:asciiTheme="majorHAnsi" w:eastAsiaTheme="majorEastAsia" w:hAnsiTheme="majorHAnsi" w:cstheme="majorBidi"/>
      <w:color w:val="000000" w:themeColor="text1"/>
    </w:rPr>
    <w:tblPr>
      <w:tblStyleRowBandSize w:val="1"/>
      <w:tblStyleColBandSize w:val="1"/>
      <w:tblInd w:w="0" w:type="dxa"/>
      <w:tblBorders>
        <w:top w:val="single" w:sz="8" w:space="0" w:color="F68B1F" w:themeColor="accent3"/>
        <w:left w:val="single" w:sz="8" w:space="0" w:color="F68B1F" w:themeColor="accent3"/>
        <w:bottom w:val="single" w:sz="8" w:space="0" w:color="F68B1F" w:themeColor="accent3"/>
        <w:right w:val="single" w:sz="8" w:space="0" w:color="F68B1F" w:themeColor="accent3"/>
        <w:insideH w:val="single" w:sz="8" w:space="0" w:color="F68B1F" w:themeColor="accent3"/>
        <w:insideV w:val="single" w:sz="8" w:space="0" w:color="F68B1F" w:themeColor="accent3"/>
      </w:tblBorders>
      <w:tblCellMar>
        <w:top w:w="0" w:type="dxa"/>
        <w:left w:w="108" w:type="dxa"/>
        <w:bottom w:w="0" w:type="dxa"/>
        <w:right w:w="108" w:type="dxa"/>
      </w:tblCellMar>
    </w:tblPr>
    <w:tcPr>
      <w:shd w:val="clear" w:color="auto" w:fill="FCE2C7" w:themeFill="accent3" w:themeFillTint="3F"/>
    </w:tcPr>
    <w:tblStylePr w:type="firstRow">
      <w:rPr>
        <w:b/>
        <w:bCs/>
        <w:color w:val="000000" w:themeColor="text1"/>
      </w:rPr>
      <w:tblPr/>
      <w:tcPr>
        <w:shd w:val="clear" w:color="auto" w:fill="FEF3E8"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7D2" w:themeFill="accent3" w:themeFillTint="33"/>
      </w:tcPr>
    </w:tblStylePr>
    <w:tblStylePr w:type="band1Vert">
      <w:tblPr/>
      <w:tcPr>
        <w:shd w:val="clear" w:color="auto" w:fill="FAC58F" w:themeFill="accent3" w:themeFillTint="7F"/>
      </w:tcPr>
    </w:tblStylePr>
    <w:tblStylePr w:type="band1Horz">
      <w:tblPr/>
      <w:tcPr>
        <w:tcBorders>
          <w:insideH w:val="single" w:sz="6" w:space="0" w:color="F68B1F" w:themeColor="accent3"/>
          <w:insideV w:val="single" w:sz="6" w:space="0" w:color="F68B1F" w:themeColor="accent3"/>
        </w:tcBorders>
        <w:shd w:val="clear" w:color="auto" w:fill="FAC58F" w:themeFill="accent3" w:themeFillTint="7F"/>
      </w:tcPr>
    </w:tblStylePr>
    <w:tblStylePr w:type="nwCell">
      <w:tblPr/>
      <w:tcPr>
        <w:shd w:val="clear" w:color="auto" w:fill="FFFFFF" w:themeFill="background1"/>
      </w:tcPr>
    </w:tblStylePr>
  </w:style>
  <w:style w:type="table" w:customStyle="1" w:styleId="MediumGrid2-Accent41">
    <w:name w:val="Medium Grid 2 - Accent 41"/>
    <w:basedOn w:val="TableNormal"/>
    <w:next w:val="MediumGrid2-Accent4"/>
    <w:uiPriority w:val="68"/>
    <w:semiHidden/>
    <w:unhideWhenUsed/>
    <w:rsid w:val="00826421"/>
    <w:rPr>
      <w:rFonts w:asciiTheme="majorHAnsi" w:eastAsiaTheme="majorEastAsia" w:hAnsiTheme="majorHAnsi" w:cstheme="majorBidi"/>
      <w:color w:val="000000" w:themeColor="text1"/>
    </w:rPr>
    <w:tblPr>
      <w:tblStyleRowBandSize w:val="1"/>
      <w:tblStyleColBandSize w:val="1"/>
      <w:tblInd w:w="0" w:type="dxa"/>
      <w:tblBorders>
        <w:top w:val="single" w:sz="8" w:space="0" w:color="9E007E" w:themeColor="accent4"/>
        <w:left w:val="single" w:sz="8" w:space="0" w:color="9E007E" w:themeColor="accent4"/>
        <w:bottom w:val="single" w:sz="8" w:space="0" w:color="9E007E" w:themeColor="accent4"/>
        <w:right w:val="single" w:sz="8" w:space="0" w:color="9E007E" w:themeColor="accent4"/>
        <w:insideH w:val="single" w:sz="8" w:space="0" w:color="9E007E" w:themeColor="accent4"/>
        <w:insideV w:val="single" w:sz="8" w:space="0" w:color="9E007E" w:themeColor="accent4"/>
      </w:tblBorders>
      <w:tblCellMar>
        <w:top w:w="0" w:type="dxa"/>
        <w:left w:w="108" w:type="dxa"/>
        <w:bottom w:w="0" w:type="dxa"/>
        <w:right w:w="108" w:type="dxa"/>
      </w:tblCellMar>
    </w:tblPr>
    <w:tcPr>
      <w:shd w:val="clear" w:color="auto" w:fill="FFA8ED" w:themeFill="accent4" w:themeFillTint="3F"/>
    </w:tcPr>
    <w:tblStylePr w:type="firstRow">
      <w:rPr>
        <w:b/>
        <w:bCs/>
        <w:color w:val="000000" w:themeColor="text1"/>
      </w:rPr>
      <w:tblPr/>
      <w:tcPr>
        <w:shd w:val="clear" w:color="auto" w:fill="FFDC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8F0" w:themeFill="accent4" w:themeFillTint="33"/>
      </w:tcPr>
    </w:tblStylePr>
    <w:tblStylePr w:type="band1Vert">
      <w:tblPr/>
      <w:tcPr>
        <w:shd w:val="clear" w:color="auto" w:fill="FF4FDB" w:themeFill="accent4" w:themeFillTint="7F"/>
      </w:tcPr>
    </w:tblStylePr>
    <w:tblStylePr w:type="band1Horz">
      <w:tblPr/>
      <w:tcPr>
        <w:tcBorders>
          <w:insideH w:val="single" w:sz="6" w:space="0" w:color="9E007E" w:themeColor="accent4"/>
          <w:insideV w:val="single" w:sz="6" w:space="0" w:color="9E007E" w:themeColor="accent4"/>
        </w:tcBorders>
        <w:shd w:val="clear" w:color="auto" w:fill="FF4FDB" w:themeFill="accent4" w:themeFillTint="7F"/>
      </w:tcPr>
    </w:tblStylePr>
    <w:tblStylePr w:type="nwCell">
      <w:tblPr/>
      <w:tcPr>
        <w:shd w:val="clear" w:color="auto" w:fill="FFFFFF" w:themeFill="background1"/>
      </w:tcPr>
    </w:tblStylePr>
  </w:style>
  <w:style w:type="table" w:customStyle="1" w:styleId="MediumGrid2-Accent51">
    <w:name w:val="Medium Grid 2 - Accent 51"/>
    <w:basedOn w:val="TableNormal"/>
    <w:next w:val="MediumGrid2-Accent5"/>
    <w:uiPriority w:val="68"/>
    <w:semiHidden/>
    <w:unhideWhenUsed/>
    <w:rsid w:val="00826421"/>
    <w:rPr>
      <w:rFonts w:asciiTheme="majorHAnsi" w:eastAsiaTheme="majorEastAsia" w:hAnsiTheme="majorHAnsi" w:cstheme="majorBidi"/>
      <w:color w:val="000000" w:themeColor="text1"/>
    </w:rPr>
    <w:tblPr>
      <w:tblStyleRowBandSize w:val="1"/>
      <w:tblStyleColBandSize w:val="1"/>
      <w:tblInd w:w="0" w:type="dxa"/>
      <w:tblBorders>
        <w:top w:val="single" w:sz="8" w:space="0" w:color="FFE512" w:themeColor="accent5"/>
        <w:left w:val="single" w:sz="8" w:space="0" w:color="FFE512" w:themeColor="accent5"/>
        <w:bottom w:val="single" w:sz="8" w:space="0" w:color="FFE512" w:themeColor="accent5"/>
        <w:right w:val="single" w:sz="8" w:space="0" w:color="FFE512" w:themeColor="accent5"/>
        <w:insideH w:val="single" w:sz="8" w:space="0" w:color="FFE512" w:themeColor="accent5"/>
        <w:insideV w:val="single" w:sz="8" w:space="0" w:color="FFE512" w:themeColor="accent5"/>
      </w:tblBorders>
      <w:tblCellMar>
        <w:top w:w="0" w:type="dxa"/>
        <w:left w:w="108" w:type="dxa"/>
        <w:bottom w:w="0" w:type="dxa"/>
        <w:right w:w="108" w:type="dxa"/>
      </w:tblCellMar>
    </w:tblPr>
    <w:tcPr>
      <w:shd w:val="clear" w:color="auto" w:fill="FFF8C4" w:themeFill="accent5" w:themeFillTint="3F"/>
    </w:tcPr>
    <w:tblStylePr w:type="firstRow">
      <w:rPr>
        <w:b/>
        <w:bCs/>
        <w:color w:val="000000" w:themeColor="text1"/>
      </w:rPr>
      <w:tblPr/>
      <w:tcPr>
        <w:shd w:val="clear" w:color="auto" w:fill="FFFCE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9CF" w:themeFill="accent5" w:themeFillTint="33"/>
      </w:tcPr>
    </w:tblStylePr>
    <w:tblStylePr w:type="band1Vert">
      <w:tblPr/>
      <w:tcPr>
        <w:shd w:val="clear" w:color="auto" w:fill="FFF288" w:themeFill="accent5" w:themeFillTint="7F"/>
      </w:tcPr>
    </w:tblStylePr>
    <w:tblStylePr w:type="band1Horz">
      <w:tblPr/>
      <w:tcPr>
        <w:tcBorders>
          <w:insideH w:val="single" w:sz="6" w:space="0" w:color="FFE512" w:themeColor="accent5"/>
          <w:insideV w:val="single" w:sz="6" w:space="0" w:color="FFE512" w:themeColor="accent5"/>
        </w:tcBorders>
        <w:shd w:val="clear" w:color="auto" w:fill="FFF288" w:themeFill="accent5" w:themeFillTint="7F"/>
      </w:tcPr>
    </w:tblStylePr>
    <w:tblStylePr w:type="nwCell">
      <w:tblPr/>
      <w:tcPr>
        <w:shd w:val="clear" w:color="auto" w:fill="FFFFFF" w:themeFill="background1"/>
      </w:tcPr>
    </w:tblStylePr>
  </w:style>
  <w:style w:type="table" w:customStyle="1" w:styleId="MediumGrid2-Accent61">
    <w:name w:val="Medium Grid 2 - Accent 61"/>
    <w:basedOn w:val="TableNormal"/>
    <w:next w:val="MediumGrid2-Accent6"/>
    <w:uiPriority w:val="68"/>
    <w:semiHidden/>
    <w:unhideWhenUsed/>
    <w:rsid w:val="00826421"/>
    <w:rPr>
      <w:rFonts w:asciiTheme="majorHAnsi" w:eastAsiaTheme="majorEastAsia" w:hAnsiTheme="majorHAnsi" w:cstheme="majorBidi"/>
      <w:color w:val="000000" w:themeColor="text1"/>
    </w:rPr>
    <w:tblPr>
      <w:tblStyleRowBandSize w:val="1"/>
      <w:tblStyleColBandSize w:val="1"/>
      <w:tblInd w:w="0" w:type="dxa"/>
      <w:tblBorders>
        <w:top w:val="single" w:sz="8" w:space="0" w:color="8C8279" w:themeColor="accent6"/>
        <w:left w:val="single" w:sz="8" w:space="0" w:color="8C8279" w:themeColor="accent6"/>
        <w:bottom w:val="single" w:sz="8" w:space="0" w:color="8C8279" w:themeColor="accent6"/>
        <w:right w:val="single" w:sz="8" w:space="0" w:color="8C8279" w:themeColor="accent6"/>
        <w:insideH w:val="single" w:sz="8" w:space="0" w:color="8C8279" w:themeColor="accent6"/>
        <w:insideV w:val="single" w:sz="8" w:space="0" w:color="8C8279" w:themeColor="accent6"/>
      </w:tblBorders>
      <w:tblCellMar>
        <w:top w:w="0" w:type="dxa"/>
        <w:left w:w="108" w:type="dxa"/>
        <w:bottom w:w="0" w:type="dxa"/>
        <w:right w:w="108" w:type="dxa"/>
      </w:tblCellMar>
    </w:tblPr>
    <w:tcPr>
      <w:shd w:val="clear" w:color="auto" w:fill="E2E0DD" w:themeFill="accent6" w:themeFillTint="3F"/>
    </w:tcPr>
    <w:tblStylePr w:type="firstRow">
      <w:rPr>
        <w:b/>
        <w:bCs/>
        <w:color w:val="000000" w:themeColor="text1"/>
      </w:rPr>
      <w:tblPr/>
      <w:tcPr>
        <w:shd w:val="clear" w:color="auto" w:fill="F3F2F1"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E5E4" w:themeFill="accent6" w:themeFillTint="33"/>
      </w:tcPr>
    </w:tblStylePr>
    <w:tblStylePr w:type="band1Vert">
      <w:tblPr/>
      <w:tcPr>
        <w:shd w:val="clear" w:color="auto" w:fill="C5C0BC" w:themeFill="accent6" w:themeFillTint="7F"/>
      </w:tcPr>
    </w:tblStylePr>
    <w:tblStylePr w:type="band1Horz">
      <w:tblPr/>
      <w:tcPr>
        <w:tcBorders>
          <w:insideH w:val="single" w:sz="6" w:space="0" w:color="8C8279" w:themeColor="accent6"/>
          <w:insideV w:val="single" w:sz="6" w:space="0" w:color="8C8279" w:themeColor="accent6"/>
        </w:tcBorders>
        <w:shd w:val="clear" w:color="auto" w:fill="C5C0BC" w:themeFill="accent6" w:themeFillTint="7F"/>
      </w:tcPr>
    </w:tblStylePr>
    <w:tblStylePr w:type="nwCell">
      <w:tblPr/>
      <w:tcPr>
        <w:shd w:val="clear" w:color="auto" w:fill="FFFFFF" w:themeFill="background1"/>
      </w:tcPr>
    </w:tblStylePr>
  </w:style>
  <w:style w:type="table" w:customStyle="1" w:styleId="MediumGrid31">
    <w:name w:val="Medium Grid 31"/>
    <w:basedOn w:val="TableNormal"/>
    <w:next w:val="MediumGrid3"/>
    <w:uiPriority w:val="69"/>
    <w:semiHidden/>
    <w:unhideWhenUsed/>
    <w:rsid w:val="00826421"/>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1">
    <w:name w:val="Medium Grid 3 - Accent 11"/>
    <w:basedOn w:val="TableNormal"/>
    <w:next w:val="MediumGrid3-Accent1"/>
    <w:uiPriority w:val="69"/>
    <w:semiHidden/>
    <w:unhideWhenUsed/>
    <w:rsid w:val="00826421"/>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B8F0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5E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5E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5E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5E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1E2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1E2FF" w:themeFill="accent1" w:themeFillTint="7F"/>
      </w:tcPr>
    </w:tblStylePr>
  </w:style>
  <w:style w:type="table" w:customStyle="1" w:styleId="MediumGrid3-Accent21">
    <w:name w:val="Medium Grid 3 - Accent 21"/>
    <w:basedOn w:val="TableNormal"/>
    <w:next w:val="MediumGrid3-Accent2"/>
    <w:uiPriority w:val="69"/>
    <w:semiHidden/>
    <w:unhideWhenUsed/>
    <w:rsid w:val="00826421"/>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7FFA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4BD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4BD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4BD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4BD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EFF5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EFF5F" w:themeFill="accent2" w:themeFillTint="7F"/>
      </w:tcPr>
    </w:tblStylePr>
  </w:style>
  <w:style w:type="table" w:customStyle="1" w:styleId="MediumGrid3-Accent31">
    <w:name w:val="Medium Grid 3 - Accent 31"/>
    <w:basedOn w:val="TableNormal"/>
    <w:next w:val="MediumGrid3-Accent3"/>
    <w:uiPriority w:val="69"/>
    <w:semiHidden/>
    <w:unhideWhenUsed/>
    <w:rsid w:val="00826421"/>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CE2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68B1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68B1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68B1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68B1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C58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C58F" w:themeFill="accent3" w:themeFillTint="7F"/>
      </w:tcPr>
    </w:tblStylePr>
  </w:style>
  <w:style w:type="table" w:customStyle="1" w:styleId="MediumGrid3-Accent41">
    <w:name w:val="Medium Grid 3 - Accent 41"/>
    <w:basedOn w:val="TableNormal"/>
    <w:next w:val="MediumGrid3-Accent4"/>
    <w:uiPriority w:val="69"/>
    <w:semiHidden/>
    <w:unhideWhenUsed/>
    <w:rsid w:val="00826421"/>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FA8E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E007E"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E007E"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E007E"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E007E"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4FD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4FDB" w:themeFill="accent4" w:themeFillTint="7F"/>
      </w:tcPr>
    </w:tblStylePr>
  </w:style>
  <w:style w:type="table" w:customStyle="1" w:styleId="MediumGrid3-Accent51">
    <w:name w:val="Medium Grid 3 - Accent 51"/>
    <w:basedOn w:val="TableNormal"/>
    <w:next w:val="MediumGrid3-Accent5"/>
    <w:uiPriority w:val="69"/>
    <w:semiHidden/>
    <w:unhideWhenUsed/>
    <w:rsid w:val="00826421"/>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FF8C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E512"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E512"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E512"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E512"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288"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288" w:themeFill="accent5" w:themeFillTint="7F"/>
      </w:tcPr>
    </w:tblStylePr>
  </w:style>
  <w:style w:type="table" w:customStyle="1" w:styleId="MediumGrid3-Accent61">
    <w:name w:val="Medium Grid 3 - Accent 61"/>
    <w:basedOn w:val="TableNormal"/>
    <w:next w:val="MediumGrid3-Accent6"/>
    <w:uiPriority w:val="69"/>
    <w:semiHidden/>
    <w:unhideWhenUsed/>
    <w:rsid w:val="00826421"/>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2E0DD"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C8279"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C8279"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C8279"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C8279"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5C0BC"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5C0BC" w:themeFill="accent6" w:themeFillTint="7F"/>
      </w:tcPr>
    </w:tblStylePr>
  </w:style>
  <w:style w:type="table" w:customStyle="1" w:styleId="MediumList11">
    <w:name w:val="Medium List 11"/>
    <w:basedOn w:val="TableNormal"/>
    <w:next w:val="MediumList1"/>
    <w:uiPriority w:val="65"/>
    <w:semiHidden/>
    <w:unhideWhenUsed/>
    <w:rsid w:val="00826421"/>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1">
    <w:name w:val="Medium List 1 - Accent 11"/>
    <w:basedOn w:val="TableNormal"/>
    <w:next w:val="MediumList1-Accent1"/>
    <w:uiPriority w:val="65"/>
    <w:semiHidden/>
    <w:unhideWhenUsed/>
    <w:rsid w:val="00826421"/>
    <w:rPr>
      <w:color w:val="000000" w:themeColor="text1"/>
    </w:rPr>
    <w:tblPr>
      <w:tblStyleRowBandSize w:val="1"/>
      <w:tblStyleColBandSize w:val="1"/>
      <w:tblInd w:w="0" w:type="dxa"/>
      <w:tblBorders>
        <w:top w:val="single" w:sz="8" w:space="0" w:color="00B5E2" w:themeColor="accent1"/>
        <w:bottom w:val="single" w:sz="8" w:space="0" w:color="00B5E2"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B5E2" w:themeColor="accent1"/>
        </w:tcBorders>
      </w:tcPr>
    </w:tblStylePr>
    <w:tblStylePr w:type="lastRow">
      <w:rPr>
        <w:b/>
        <w:bCs/>
        <w:color w:val="000000" w:themeColor="text2"/>
      </w:rPr>
      <w:tblPr/>
      <w:tcPr>
        <w:tcBorders>
          <w:top w:val="single" w:sz="8" w:space="0" w:color="00B5E2" w:themeColor="accent1"/>
          <w:bottom w:val="single" w:sz="8" w:space="0" w:color="00B5E2" w:themeColor="accent1"/>
        </w:tcBorders>
      </w:tcPr>
    </w:tblStylePr>
    <w:tblStylePr w:type="firstCol">
      <w:rPr>
        <w:b/>
        <w:bCs/>
      </w:rPr>
    </w:tblStylePr>
    <w:tblStylePr w:type="lastCol">
      <w:rPr>
        <w:b/>
        <w:bCs/>
      </w:rPr>
      <w:tblPr/>
      <w:tcPr>
        <w:tcBorders>
          <w:top w:val="single" w:sz="8" w:space="0" w:color="00B5E2" w:themeColor="accent1"/>
          <w:bottom w:val="single" w:sz="8" w:space="0" w:color="00B5E2" w:themeColor="accent1"/>
        </w:tcBorders>
      </w:tcPr>
    </w:tblStylePr>
    <w:tblStylePr w:type="band1Vert">
      <w:tblPr/>
      <w:tcPr>
        <w:shd w:val="clear" w:color="auto" w:fill="B8F0FF" w:themeFill="accent1" w:themeFillTint="3F"/>
      </w:tcPr>
    </w:tblStylePr>
    <w:tblStylePr w:type="band1Horz">
      <w:tblPr/>
      <w:tcPr>
        <w:shd w:val="clear" w:color="auto" w:fill="B8F0FF" w:themeFill="accent1" w:themeFillTint="3F"/>
      </w:tcPr>
    </w:tblStylePr>
  </w:style>
  <w:style w:type="table" w:customStyle="1" w:styleId="MediumList1-Accent21">
    <w:name w:val="Medium List 1 - Accent 21"/>
    <w:basedOn w:val="TableNormal"/>
    <w:next w:val="MediumList1-Accent2"/>
    <w:uiPriority w:val="65"/>
    <w:semiHidden/>
    <w:unhideWhenUsed/>
    <w:rsid w:val="00826421"/>
    <w:rPr>
      <w:color w:val="000000" w:themeColor="text1"/>
    </w:rPr>
    <w:tblPr>
      <w:tblStyleRowBandSize w:val="1"/>
      <w:tblStyleColBandSize w:val="1"/>
      <w:tblInd w:w="0" w:type="dxa"/>
      <w:tblBorders>
        <w:top w:val="single" w:sz="8" w:space="0" w:color="84BD00" w:themeColor="accent2"/>
        <w:bottom w:val="single" w:sz="8" w:space="0" w:color="84BD00"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4BD00" w:themeColor="accent2"/>
        </w:tcBorders>
      </w:tcPr>
    </w:tblStylePr>
    <w:tblStylePr w:type="lastRow">
      <w:rPr>
        <w:b/>
        <w:bCs/>
        <w:color w:val="000000" w:themeColor="text2"/>
      </w:rPr>
      <w:tblPr/>
      <w:tcPr>
        <w:tcBorders>
          <w:top w:val="single" w:sz="8" w:space="0" w:color="84BD00" w:themeColor="accent2"/>
          <w:bottom w:val="single" w:sz="8" w:space="0" w:color="84BD00" w:themeColor="accent2"/>
        </w:tcBorders>
      </w:tcPr>
    </w:tblStylePr>
    <w:tblStylePr w:type="firstCol">
      <w:rPr>
        <w:b/>
        <w:bCs/>
      </w:rPr>
    </w:tblStylePr>
    <w:tblStylePr w:type="lastCol">
      <w:rPr>
        <w:b/>
        <w:bCs/>
      </w:rPr>
      <w:tblPr/>
      <w:tcPr>
        <w:tcBorders>
          <w:top w:val="single" w:sz="8" w:space="0" w:color="84BD00" w:themeColor="accent2"/>
          <w:bottom w:val="single" w:sz="8" w:space="0" w:color="84BD00" w:themeColor="accent2"/>
        </w:tcBorders>
      </w:tcPr>
    </w:tblStylePr>
    <w:tblStylePr w:type="band1Vert">
      <w:tblPr/>
      <w:tcPr>
        <w:shd w:val="clear" w:color="auto" w:fill="E7FFAF" w:themeFill="accent2" w:themeFillTint="3F"/>
      </w:tcPr>
    </w:tblStylePr>
    <w:tblStylePr w:type="band1Horz">
      <w:tblPr/>
      <w:tcPr>
        <w:shd w:val="clear" w:color="auto" w:fill="E7FFAF" w:themeFill="accent2" w:themeFillTint="3F"/>
      </w:tcPr>
    </w:tblStylePr>
  </w:style>
  <w:style w:type="table" w:customStyle="1" w:styleId="MediumList1-Accent31">
    <w:name w:val="Medium List 1 - Accent 31"/>
    <w:basedOn w:val="TableNormal"/>
    <w:next w:val="MediumList1-Accent3"/>
    <w:uiPriority w:val="65"/>
    <w:semiHidden/>
    <w:unhideWhenUsed/>
    <w:rsid w:val="00826421"/>
    <w:rPr>
      <w:color w:val="000000" w:themeColor="text1"/>
    </w:rPr>
    <w:tblPr>
      <w:tblStyleRowBandSize w:val="1"/>
      <w:tblStyleColBandSize w:val="1"/>
      <w:tblInd w:w="0" w:type="dxa"/>
      <w:tblBorders>
        <w:top w:val="single" w:sz="8" w:space="0" w:color="F68B1F" w:themeColor="accent3"/>
        <w:bottom w:val="single" w:sz="8" w:space="0" w:color="F68B1F"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68B1F" w:themeColor="accent3"/>
        </w:tcBorders>
      </w:tcPr>
    </w:tblStylePr>
    <w:tblStylePr w:type="lastRow">
      <w:rPr>
        <w:b/>
        <w:bCs/>
        <w:color w:val="000000" w:themeColor="text2"/>
      </w:rPr>
      <w:tblPr/>
      <w:tcPr>
        <w:tcBorders>
          <w:top w:val="single" w:sz="8" w:space="0" w:color="F68B1F" w:themeColor="accent3"/>
          <w:bottom w:val="single" w:sz="8" w:space="0" w:color="F68B1F" w:themeColor="accent3"/>
        </w:tcBorders>
      </w:tcPr>
    </w:tblStylePr>
    <w:tblStylePr w:type="firstCol">
      <w:rPr>
        <w:b/>
        <w:bCs/>
      </w:rPr>
    </w:tblStylePr>
    <w:tblStylePr w:type="lastCol">
      <w:rPr>
        <w:b/>
        <w:bCs/>
      </w:rPr>
      <w:tblPr/>
      <w:tcPr>
        <w:tcBorders>
          <w:top w:val="single" w:sz="8" w:space="0" w:color="F68B1F" w:themeColor="accent3"/>
          <w:bottom w:val="single" w:sz="8" w:space="0" w:color="F68B1F" w:themeColor="accent3"/>
        </w:tcBorders>
      </w:tcPr>
    </w:tblStylePr>
    <w:tblStylePr w:type="band1Vert">
      <w:tblPr/>
      <w:tcPr>
        <w:shd w:val="clear" w:color="auto" w:fill="FCE2C7" w:themeFill="accent3" w:themeFillTint="3F"/>
      </w:tcPr>
    </w:tblStylePr>
    <w:tblStylePr w:type="band1Horz">
      <w:tblPr/>
      <w:tcPr>
        <w:shd w:val="clear" w:color="auto" w:fill="FCE2C7" w:themeFill="accent3" w:themeFillTint="3F"/>
      </w:tcPr>
    </w:tblStylePr>
  </w:style>
  <w:style w:type="table" w:customStyle="1" w:styleId="MediumList1-Accent41">
    <w:name w:val="Medium List 1 - Accent 41"/>
    <w:basedOn w:val="TableNormal"/>
    <w:next w:val="MediumList1-Accent4"/>
    <w:uiPriority w:val="65"/>
    <w:semiHidden/>
    <w:unhideWhenUsed/>
    <w:rsid w:val="00826421"/>
    <w:rPr>
      <w:color w:val="000000" w:themeColor="text1"/>
    </w:rPr>
    <w:tblPr>
      <w:tblStyleRowBandSize w:val="1"/>
      <w:tblStyleColBandSize w:val="1"/>
      <w:tblInd w:w="0" w:type="dxa"/>
      <w:tblBorders>
        <w:top w:val="single" w:sz="8" w:space="0" w:color="9E007E" w:themeColor="accent4"/>
        <w:bottom w:val="single" w:sz="8" w:space="0" w:color="9E007E"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E007E" w:themeColor="accent4"/>
        </w:tcBorders>
      </w:tcPr>
    </w:tblStylePr>
    <w:tblStylePr w:type="lastRow">
      <w:rPr>
        <w:b/>
        <w:bCs/>
        <w:color w:val="000000" w:themeColor="text2"/>
      </w:rPr>
      <w:tblPr/>
      <w:tcPr>
        <w:tcBorders>
          <w:top w:val="single" w:sz="8" w:space="0" w:color="9E007E" w:themeColor="accent4"/>
          <w:bottom w:val="single" w:sz="8" w:space="0" w:color="9E007E" w:themeColor="accent4"/>
        </w:tcBorders>
      </w:tcPr>
    </w:tblStylePr>
    <w:tblStylePr w:type="firstCol">
      <w:rPr>
        <w:b/>
        <w:bCs/>
      </w:rPr>
    </w:tblStylePr>
    <w:tblStylePr w:type="lastCol">
      <w:rPr>
        <w:b/>
        <w:bCs/>
      </w:rPr>
      <w:tblPr/>
      <w:tcPr>
        <w:tcBorders>
          <w:top w:val="single" w:sz="8" w:space="0" w:color="9E007E" w:themeColor="accent4"/>
          <w:bottom w:val="single" w:sz="8" w:space="0" w:color="9E007E" w:themeColor="accent4"/>
        </w:tcBorders>
      </w:tcPr>
    </w:tblStylePr>
    <w:tblStylePr w:type="band1Vert">
      <w:tblPr/>
      <w:tcPr>
        <w:shd w:val="clear" w:color="auto" w:fill="FFA8ED" w:themeFill="accent4" w:themeFillTint="3F"/>
      </w:tcPr>
    </w:tblStylePr>
    <w:tblStylePr w:type="band1Horz">
      <w:tblPr/>
      <w:tcPr>
        <w:shd w:val="clear" w:color="auto" w:fill="FFA8ED" w:themeFill="accent4" w:themeFillTint="3F"/>
      </w:tcPr>
    </w:tblStylePr>
  </w:style>
  <w:style w:type="table" w:customStyle="1" w:styleId="MediumList1-Accent51">
    <w:name w:val="Medium List 1 - Accent 51"/>
    <w:basedOn w:val="TableNormal"/>
    <w:next w:val="MediumList1-Accent5"/>
    <w:uiPriority w:val="65"/>
    <w:semiHidden/>
    <w:unhideWhenUsed/>
    <w:rsid w:val="00826421"/>
    <w:rPr>
      <w:color w:val="000000" w:themeColor="text1"/>
    </w:rPr>
    <w:tblPr>
      <w:tblStyleRowBandSize w:val="1"/>
      <w:tblStyleColBandSize w:val="1"/>
      <w:tblInd w:w="0" w:type="dxa"/>
      <w:tblBorders>
        <w:top w:val="single" w:sz="8" w:space="0" w:color="FFE512" w:themeColor="accent5"/>
        <w:bottom w:val="single" w:sz="8" w:space="0" w:color="FFE512"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FE512" w:themeColor="accent5"/>
        </w:tcBorders>
      </w:tcPr>
    </w:tblStylePr>
    <w:tblStylePr w:type="lastRow">
      <w:rPr>
        <w:b/>
        <w:bCs/>
        <w:color w:val="000000" w:themeColor="text2"/>
      </w:rPr>
      <w:tblPr/>
      <w:tcPr>
        <w:tcBorders>
          <w:top w:val="single" w:sz="8" w:space="0" w:color="FFE512" w:themeColor="accent5"/>
          <w:bottom w:val="single" w:sz="8" w:space="0" w:color="FFE512" w:themeColor="accent5"/>
        </w:tcBorders>
      </w:tcPr>
    </w:tblStylePr>
    <w:tblStylePr w:type="firstCol">
      <w:rPr>
        <w:b/>
        <w:bCs/>
      </w:rPr>
    </w:tblStylePr>
    <w:tblStylePr w:type="lastCol">
      <w:rPr>
        <w:b/>
        <w:bCs/>
      </w:rPr>
      <w:tblPr/>
      <w:tcPr>
        <w:tcBorders>
          <w:top w:val="single" w:sz="8" w:space="0" w:color="FFE512" w:themeColor="accent5"/>
          <w:bottom w:val="single" w:sz="8" w:space="0" w:color="FFE512" w:themeColor="accent5"/>
        </w:tcBorders>
      </w:tcPr>
    </w:tblStylePr>
    <w:tblStylePr w:type="band1Vert">
      <w:tblPr/>
      <w:tcPr>
        <w:shd w:val="clear" w:color="auto" w:fill="FFF8C4" w:themeFill="accent5" w:themeFillTint="3F"/>
      </w:tcPr>
    </w:tblStylePr>
    <w:tblStylePr w:type="band1Horz">
      <w:tblPr/>
      <w:tcPr>
        <w:shd w:val="clear" w:color="auto" w:fill="FFF8C4" w:themeFill="accent5" w:themeFillTint="3F"/>
      </w:tcPr>
    </w:tblStylePr>
  </w:style>
  <w:style w:type="table" w:customStyle="1" w:styleId="MediumList1-Accent61">
    <w:name w:val="Medium List 1 - Accent 61"/>
    <w:basedOn w:val="TableNormal"/>
    <w:next w:val="MediumList1-Accent6"/>
    <w:uiPriority w:val="65"/>
    <w:semiHidden/>
    <w:unhideWhenUsed/>
    <w:rsid w:val="00826421"/>
    <w:rPr>
      <w:color w:val="000000" w:themeColor="text1"/>
    </w:rPr>
    <w:tblPr>
      <w:tblStyleRowBandSize w:val="1"/>
      <w:tblStyleColBandSize w:val="1"/>
      <w:tblInd w:w="0" w:type="dxa"/>
      <w:tblBorders>
        <w:top w:val="single" w:sz="8" w:space="0" w:color="8C8279" w:themeColor="accent6"/>
        <w:bottom w:val="single" w:sz="8" w:space="0" w:color="8C8279"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C8279" w:themeColor="accent6"/>
        </w:tcBorders>
      </w:tcPr>
    </w:tblStylePr>
    <w:tblStylePr w:type="lastRow">
      <w:rPr>
        <w:b/>
        <w:bCs/>
        <w:color w:val="000000" w:themeColor="text2"/>
      </w:rPr>
      <w:tblPr/>
      <w:tcPr>
        <w:tcBorders>
          <w:top w:val="single" w:sz="8" w:space="0" w:color="8C8279" w:themeColor="accent6"/>
          <w:bottom w:val="single" w:sz="8" w:space="0" w:color="8C8279" w:themeColor="accent6"/>
        </w:tcBorders>
      </w:tcPr>
    </w:tblStylePr>
    <w:tblStylePr w:type="firstCol">
      <w:rPr>
        <w:b/>
        <w:bCs/>
      </w:rPr>
    </w:tblStylePr>
    <w:tblStylePr w:type="lastCol">
      <w:rPr>
        <w:b/>
        <w:bCs/>
      </w:rPr>
      <w:tblPr/>
      <w:tcPr>
        <w:tcBorders>
          <w:top w:val="single" w:sz="8" w:space="0" w:color="8C8279" w:themeColor="accent6"/>
          <w:bottom w:val="single" w:sz="8" w:space="0" w:color="8C8279" w:themeColor="accent6"/>
        </w:tcBorders>
      </w:tcPr>
    </w:tblStylePr>
    <w:tblStylePr w:type="band1Vert">
      <w:tblPr/>
      <w:tcPr>
        <w:shd w:val="clear" w:color="auto" w:fill="E2E0DD" w:themeFill="accent6" w:themeFillTint="3F"/>
      </w:tcPr>
    </w:tblStylePr>
    <w:tblStylePr w:type="band1Horz">
      <w:tblPr/>
      <w:tcPr>
        <w:shd w:val="clear" w:color="auto" w:fill="E2E0DD" w:themeFill="accent6" w:themeFillTint="3F"/>
      </w:tcPr>
    </w:tblStylePr>
  </w:style>
  <w:style w:type="table" w:customStyle="1" w:styleId="MediumList21">
    <w:name w:val="Medium List 21"/>
    <w:basedOn w:val="TableNormal"/>
    <w:next w:val="MediumList2"/>
    <w:uiPriority w:val="66"/>
    <w:semiHidden/>
    <w:unhideWhenUsed/>
    <w:rsid w:val="00826421"/>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1">
    <w:name w:val="Medium List 2 - Accent 11"/>
    <w:basedOn w:val="TableNormal"/>
    <w:next w:val="MediumList2-Accent1"/>
    <w:uiPriority w:val="66"/>
    <w:semiHidden/>
    <w:unhideWhenUsed/>
    <w:rsid w:val="00826421"/>
    <w:rPr>
      <w:rFonts w:asciiTheme="majorHAnsi" w:eastAsiaTheme="majorEastAsia" w:hAnsiTheme="majorHAnsi" w:cstheme="majorBidi"/>
      <w:color w:val="000000" w:themeColor="text1"/>
    </w:rPr>
    <w:tblPr>
      <w:tblStyleRowBandSize w:val="1"/>
      <w:tblStyleColBandSize w:val="1"/>
      <w:tblInd w:w="0" w:type="dxa"/>
      <w:tblBorders>
        <w:top w:val="single" w:sz="8" w:space="0" w:color="00B5E2" w:themeColor="accent1"/>
        <w:left w:val="single" w:sz="8" w:space="0" w:color="00B5E2" w:themeColor="accent1"/>
        <w:bottom w:val="single" w:sz="8" w:space="0" w:color="00B5E2" w:themeColor="accent1"/>
        <w:right w:val="single" w:sz="8" w:space="0" w:color="00B5E2"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B5E2" w:themeColor="accent1"/>
          <w:right w:val="nil"/>
          <w:insideH w:val="nil"/>
          <w:insideV w:val="nil"/>
        </w:tcBorders>
        <w:shd w:val="clear" w:color="auto" w:fill="FFFFFF" w:themeFill="background1"/>
      </w:tcPr>
    </w:tblStylePr>
    <w:tblStylePr w:type="lastRow">
      <w:tblPr/>
      <w:tcPr>
        <w:tcBorders>
          <w:top w:val="single" w:sz="8" w:space="0" w:color="00B5E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5E2" w:themeColor="accent1"/>
          <w:insideH w:val="nil"/>
          <w:insideV w:val="nil"/>
        </w:tcBorders>
        <w:shd w:val="clear" w:color="auto" w:fill="FFFFFF" w:themeFill="background1"/>
      </w:tcPr>
    </w:tblStylePr>
    <w:tblStylePr w:type="lastCol">
      <w:tblPr/>
      <w:tcPr>
        <w:tcBorders>
          <w:top w:val="nil"/>
          <w:left w:val="single" w:sz="8" w:space="0" w:color="00B5E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8F0FF" w:themeFill="accent1" w:themeFillTint="3F"/>
      </w:tcPr>
    </w:tblStylePr>
    <w:tblStylePr w:type="band1Horz">
      <w:tblPr/>
      <w:tcPr>
        <w:tcBorders>
          <w:top w:val="nil"/>
          <w:bottom w:val="nil"/>
          <w:insideH w:val="nil"/>
          <w:insideV w:val="nil"/>
        </w:tcBorders>
        <w:shd w:val="clear" w:color="auto" w:fill="B8F0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1">
    <w:name w:val="Medium List 2 - Accent 21"/>
    <w:basedOn w:val="TableNormal"/>
    <w:next w:val="MediumList2-Accent2"/>
    <w:uiPriority w:val="66"/>
    <w:semiHidden/>
    <w:unhideWhenUsed/>
    <w:rsid w:val="00826421"/>
    <w:rPr>
      <w:rFonts w:asciiTheme="majorHAnsi" w:eastAsiaTheme="majorEastAsia" w:hAnsiTheme="majorHAnsi" w:cstheme="majorBidi"/>
      <w:color w:val="000000" w:themeColor="text1"/>
    </w:rPr>
    <w:tblPr>
      <w:tblStyleRowBandSize w:val="1"/>
      <w:tblStyleColBandSize w:val="1"/>
      <w:tblInd w:w="0" w:type="dxa"/>
      <w:tblBorders>
        <w:top w:val="single" w:sz="8" w:space="0" w:color="84BD00" w:themeColor="accent2"/>
        <w:left w:val="single" w:sz="8" w:space="0" w:color="84BD00" w:themeColor="accent2"/>
        <w:bottom w:val="single" w:sz="8" w:space="0" w:color="84BD00" w:themeColor="accent2"/>
        <w:right w:val="single" w:sz="8" w:space="0" w:color="84BD00"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84BD00" w:themeColor="accent2"/>
          <w:right w:val="nil"/>
          <w:insideH w:val="nil"/>
          <w:insideV w:val="nil"/>
        </w:tcBorders>
        <w:shd w:val="clear" w:color="auto" w:fill="FFFFFF" w:themeFill="background1"/>
      </w:tcPr>
    </w:tblStylePr>
    <w:tblStylePr w:type="lastRow">
      <w:tblPr/>
      <w:tcPr>
        <w:tcBorders>
          <w:top w:val="single" w:sz="8" w:space="0" w:color="84BD0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4BD00" w:themeColor="accent2"/>
          <w:insideH w:val="nil"/>
          <w:insideV w:val="nil"/>
        </w:tcBorders>
        <w:shd w:val="clear" w:color="auto" w:fill="FFFFFF" w:themeFill="background1"/>
      </w:tcPr>
    </w:tblStylePr>
    <w:tblStylePr w:type="lastCol">
      <w:tblPr/>
      <w:tcPr>
        <w:tcBorders>
          <w:top w:val="nil"/>
          <w:left w:val="single" w:sz="8" w:space="0" w:color="84BD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FFAF" w:themeFill="accent2" w:themeFillTint="3F"/>
      </w:tcPr>
    </w:tblStylePr>
    <w:tblStylePr w:type="band1Horz">
      <w:tblPr/>
      <w:tcPr>
        <w:tcBorders>
          <w:top w:val="nil"/>
          <w:bottom w:val="nil"/>
          <w:insideH w:val="nil"/>
          <w:insideV w:val="nil"/>
        </w:tcBorders>
        <w:shd w:val="clear" w:color="auto" w:fill="E7FFA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1">
    <w:name w:val="Medium List 2 - Accent 31"/>
    <w:basedOn w:val="TableNormal"/>
    <w:next w:val="MediumList2-Accent3"/>
    <w:uiPriority w:val="66"/>
    <w:semiHidden/>
    <w:unhideWhenUsed/>
    <w:rsid w:val="00826421"/>
    <w:rPr>
      <w:rFonts w:asciiTheme="majorHAnsi" w:eastAsiaTheme="majorEastAsia" w:hAnsiTheme="majorHAnsi" w:cstheme="majorBidi"/>
      <w:color w:val="000000" w:themeColor="text1"/>
    </w:rPr>
    <w:tblPr>
      <w:tblStyleRowBandSize w:val="1"/>
      <w:tblStyleColBandSize w:val="1"/>
      <w:tblInd w:w="0" w:type="dxa"/>
      <w:tblBorders>
        <w:top w:val="single" w:sz="8" w:space="0" w:color="F68B1F" w:themeColor="accent3"/>
        <w:left w:val="single" w:sz="8" w:space="0" w:color="F68B1F" w:themeColor="accent3"/>
        <w:bottom w:val="single" w:sz="8" w:space="0" w:color="F68B1F" w:themeColor="accent3"/>
        <w:right w:val="single" w:sz="8" w:space="0" w:color="F68B1F"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F68B1F" w:themeColor="accent3"/>
          <w:right w:val="nil"/>
          <w:insideH w:val="nil"/>
          <w:insideV w:val="nil"/>
        </w:tcBorders>
        <w:shd w:val="clear" w:color="auto" w:fill="FFFFFF" w:themeFill="background1"/>
      </w:tcPr>
    </w:tblStylePr>
    <w:tblStylePr w:type="lastRow">
      <w:tblPr/>
      <w:tcPr>
        <w:tcBorders>
          <w:top w:val="single" w:sz="8" w:space="0" w:color="F68B1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68B1F" w:themeColor="accent3"/>
          <w:insideH w:val="nil"/>
          <w:insideV w:val="nil"/>
        </w:tcBorders>
        <w:shd w:val="clear" w:color="auto" w:fill="FFFFFF" w:themeFill="background1"/>
      </w:tcPr>
    </w:tblStylePr>
    <w:tblStylePr w:type="lastCol">
      <w:tblPr/>
      <w:tcPr>
        <w:tcBorders>
          <w:top w:val="nil"/>
          <w:left w:val="single" w:sz="8" w:space="0" w:color="F68B1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2C7" w:themeFill="accent3" w:themeFillTint="3F"/>
      </w:tcPr>
    </w:tblStylePr>
    <w:tblStylePr w:type="band1Horz">
      <w:tblPr/>
      <w:tcPr>
        <w:tcBorders>
          <w:top w:val="nil"/>
          <w:bottom w:val="nil"/>
          <w:insideH w:val="nil"/>
          <w:insideV w:val="nil"/>
        </w:tcBorders>
        <w:shd w:val="clear" w:color="auto" w:fill="FCE2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1">
    <w:name w:val="Medium List 2 - Accent 41"/>
    <w:basedOn w:val="TableNormal"/>
    <w:next w:val="MediumList2-Accent4"/>
    <w:uiPriority w:val="66"/>
    <w:semiHidden/>
    <w:unhideWhenUsed/>
    <w:rsid w:val="00826421"/>
    <w:rPr>
      <w:rFonts w:asciiTheme="majorHAnsi" w:eastAsiaTheme="majorEastAsia" w:hAnsiTheme="majorHAnsi" w:cstheme="majorBidi"/>
      <w:color w:val="000000" w:themeColor="text1"/>
    </w:rPr>
    <w:tblPr>
      <w:tblStyleRowBandSize w:val="1"/>
      <w:tblStyleColBandSize w:val="1"/>
      <w:tblInd w:w="0" w:type="dxa"/>
      <w:tblBorders>
        <w:top w:val="single" w:sz="8" w:space="0" w:color="9E007E" w:themeColor="accent4"/>
        <w:left w:val="single" w:sz="8" w:space="0" w:color="9E007E" w:themeColor="accent4"/>
        <w:bottom w:val="single" w:sz="8" w:space="0" w:color="9E007E" w:themeColor="accent4"/>
        <w:right w:val="single" w:sz="8" w:space="0" w:color="9E007E"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9E007E" w:themeColor="accent4"/>
          <w:right w:val="nil"/>
          <w:insideH w:val="nil"/>
          <w:insideV w:val="nil"/>
        </w:tcBorders>
        <w:shd w:val="clear" w:color="auto" w:fill="FFFFFF" w:themeFill="background1"/>
      </w:tcPr>
    </w:tblStylePr>
    <w:tblStylePr w:type="lastRow">
      <w:tblPr/>
      <w:tcPr>
        <w:tcBorders>
          <w:top w:val="single" w:sz="8" w:space="0" w:color="9E007E"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E007E" w:themeColor="accent4"/>
          <w:insideH w:val="nil"/>
          <w:insideV w:val="nil"/>
        </w:tcBorders>
        <w:shd w:val="clear" w:color="auto" w:fill="FFFFFF" w:themeFill="background1"/>
      </w:tcPr>
    </w:tblStylePr>
    <w:tblStylePr w:type="lastCol">
      <w:tblPr/>
      <w:tcPr>
        <w:tcBorders>
          <w:top w:val="nil"/>
          <w:left w:val="single" w:sz="8" w:space="0" w:color="9E007E"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A8ED" w:themeFill="accent4" w:themeFillTint="3F"/>
      </w:tcPr>
    </w:tblStylePr>
    <w:tblStylePr w:type="band1Horz">
      <w:tblPr/>
      <w:tcPr>
        <w:tcBorders>
          <w:top w:val="nil"/>
          <w:bottom w:val="nil"/>
          <w:insideH w:val="nil"/>
          <w:insideV w:val="nil"/>
        </w:tcBorders>
        <w:shd w:val="clear" w:color="auto" w:fill="FFA8E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1">
    <w:name w:val="Medium List 2 - Accent 51"/>
    <w:basedOn w:val="TableNormal"/>
    <w:next w:val="MediumList2-Accent5"/>
    <w:uiPriority w:val="66"/>
    <w:semiHidden/>
    <w:unhideWhenUsed/>
    <w:rsid w:val="00826421"/>
    <w:rPr>
      <w:rFonts w:asciiTheme="majorHAnsi" w:eastAsiaTheme="majorEastAsia" w:hAnsiTheme="majorHAnsi" w:cstheme="majorBidi"/>
      <w:color w:val="000000" w:themeColor="text1"/>
    </w:rPr>
    <w:tblPr>
      <w:tblStyleRowBandSize w:val="1"/>
      <w:tblStyleColBandSize w:val="1"/>
      <w:tblInd w:w="0" w:type="dxa"/>
      <w:tblBorders>
        <w:top w:val="single" w:sz="8" w:space="0" w:color="FFE512" w:themeColor="accent5"/>
        <w:left w:val="single" w:sz="8" w:space="0" w:color="FFE512" w:themeColor="accent5"/>
        <w:bottom w:val="single" w:sz="8" w:space="0" w:color="FFE512" w:themeColor="accent5"/>
        <w:right w:val="single" w:sz="8" w:space="0" w:color="FFE512"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FFE512" w:themeColor="accent5"/>
          <w:right w:val="nil"/>
          <w:insideH w:val="nil"/>
          <w:insideV w:val="nil"/>
        </w:tcBorders>
        <w:shd w:val="clear" w:color="auto" w:fill="FFFFFF" w:themeFill="background1"/>
      </w:tcPr>
    </w:tblStylePr>
    <w:tblStylePr w:type="lastRow">
      <w:tblPr/>
      <w:tcPr>
        <w:tcBorders>
          <w:top w:val="single" w:sz="8" w:space="0" w:color="FFE512"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E512" w:themeColor="accent5"/>
          <w:insideH w:val="nil"/>
          <w:insideV w:val="nil"/>
        </w:tcBorders>
        <w:shd w:val="clear" w:color="auto" w:fill="FFFFFF" w:themeFill="background1"/>
      </w:tcPr>
    </w:tblStylePr>
    <w:tblStylePr w:type="lastCol">
      <w:tblPr/>
      <w:tcPr>
        <w:tcBorders>
          <w:top w:val="nil"/>
          <w:left w:val="single" w:sz="8" w:space="0" w:color="FFE512"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8C4" w:themeFill="accent5" w:themeFillTint="3F"/>
      </w:tcPr>
    </w:tblStylePr>
    <w:tblStylePr w:type="band1Horz">
      <w:tblPr/>
      <w:tcPr>
        <w:tcBorders>
          <w:top w:val="nil"/>
          <w:bottom w:val="nil"/>
          <w:insideH w:val="nil"/>
          <w:insideV w:val="nil"/>
        </w:tcBorders>
        <w:shd w:val="clear" w:color="auto" w:fill="FFF8C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1">
    <w:name w:val="Medium List 2 - Accent 61"/>
    <w:basedOn w:val="TableNormal"/>
    <w:next w:val="MediumList2-Accent6"/>
    <w:uiPriority w:val="66"/>
    <w:semiHidden/>
    <w:unhideWhenUsed/>
    <w:rsid w:val="00826421"/>
    <w:rPr>
      <w:rFonts w:asciiTheme="majorHAnsi" w:eastAsiaTheme="majorEastAsia" w:hAnsiTheme="majorHAnsi" w:cstheme="majorBidi"/>
      <w:color w:val="000000" w:themeColor="text1"/>
    </w:rPr>
    <w:tblPr>
      <w:tblStyleRowBandSize w:val="1"/>
      <w:tblStyleColBandSize w:val="1"/>
      <w:tblInd w:w="0" w:type="dxa"/>
      <w:tblBorders>
        <w:top w:val="single" w:sz="8" w:space="0" w:color="8C8279" w:themeColor="accent6"/>
        <w:left w:val="single" w:sz="8" w:space="0" w:color="8C8279" w:themeColor="accent6"/>
        <w:bottom w:val="single" w:sz="8" w:space="0" w:color="8C8279" w:themeColor="accent6"/>
        <w:right w:val="single" w:sz="8" w:space="0" w:color="8C8279"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8C8279" w:themeColor="accent6"/>
          <w:right w:val="nil"/>
          <w:insideH w:val="nil"/>
          <w:insideV w:val="nil"/>
        </w:tcBorders>
        <w:shd w:val="clear" w:color="auto" w:fill="FFFFFF" w:themeFill="background1"/>
      </w:tcPr>
    </w:tblStylePr>
    <w:tblStylePr w:type="lastRow">
      <w:tblPr/>
      <w:tcPr>
        <w:tcBorders>
          <w:top w:val="single" w:sz="8" w:space="0" w:color="8C827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C8279" w:themeColor="accent6"/>
          <w:insideH w:val="nil"/>
          <w:insideV w:val="nil"/>
        </w:tcBorders>
        <w:shd w:val="clear" w:color="auto" w:fill="FFFFFF" w:themeFill="background1"/>
      </w:tcPr>
    </w:tblStylePr>
    <w:tblStylePr w:type="lastCol">
      <w:tblPr/>
      <w:tcPr>
        <w:tcBorders>
          <w:top w:val="nil"/>
          <w:left w:val="single" w:sz="8" w:space="0" w:color="8C827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E0DD" w:themeFill="accent6" w:themeFillTint="3F"/>
      </w:tcPr>
    </w:tblStylePr>
    <w:tblStylePr w:type="band1Horz">
      <w:tblPr/>
      <w:tcPr>
        <w:tcBorders>
          <w:top w:val="nil"/>
          <w:bottom w:val="nil"/>
          <w:insideH w:val="nil"/>
          <w:insideV w:val="nil"/>
        </w:tcBorders>
        <w:shd w:val="clear" w:color="auto" w:fill="E2E0DD"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Shading11">
    <w:name w:val="Medium Shading 11"/>
    <w:basedOn w:val="TableNormal"/>
    <w:next w:val="MediumShading1"/>
    <w:uiPriority w:val="63"/>
    <w:semiHidden/>
    <w:unhideWhenUsed/>
    <w:rsid w:val="00826421"/>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1">
    <w:name w:val="Medium Shading 1 - Accent 11"/>
    <w:basedOn w:val="TableNormal"/>
    <w:next w:val="MediumShading1-Accent1"/>
    <w:uiPriority w:val="63"/>
    <w:semiHidden/>
    <w:unhideWhenUsed/>
    <w:rsid w:val="00826421"/>
    <w:tblPr>
      <w:tblStyleRowBandSize w:val="1"/>
      <w:tblStyleColBandSize w:val="1"/>
      <w:tblInd w:w="0" w:type="dxa"/>
      <w:tblBorders>
        <w:top w:val="single" w:sz="8" w:space="0" w:color="2AD4FF" w:themeColor="accent1" w:themeTint="BF"/>
        <w:left w:val="single" w:sz="8" w:space="0" w:color="2AD4FF" w:themeColor="accent1" w:themeTint="BF"/>
        <w:bottom w:val="single" w:sz="8" w:space="0" w:color="2AD4FF" w:themeColor="accent1" w:themeTint="BF"/>
        <w:right w:val="single" w:sz="8" w:space="0" w:color="2AD4FF" w:themeColor="accent1" w:themeTint="BF"/>
        <w:insideH w:val="single" w:sz="8" w:space="0" w:color="2AD4FF"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2AD4FF" w:themeColor="accent1" w:themeTint="BF"/>
          <w:left w:val="single" w:sz="8" w:space="0" w:color="2AD4FF" w:themeColor="accent1" w:themeTint="BF"/>
          <w:bottom w:val="single" w:sz="8" w:space="0" w:color="2AD4FF" w:themeColor="accent1" w:themeTint="BF"/>
          <w:right w:val="single" w:sz="8" w:space="0" w:color="2AD4FF" w:themeColor="accent1" w:themeTint="BF"/>
          <w:insideH w:val="nil"/>
          <w:insideV w:val="nil"/>
        </w:tcBorders>
        <w:shd w:val="clear" w:color="auto" w:fill="00B5E2" w:themeFill="accent1"/>
      </w:tcPr>
    </w:tblStylePr>
    <w:tblStylePr w:type="lastRow">
      <w:pPr>
        <w:spacing w:before="0" w:after="0" w:line="240" w:lineRule="auto"/>
      </w:pPr>
      <w:rPr>
        <w:b/>
        <w:bCs/>
      </w:rPr>
      <w:tblPr/>
      <w:tcPr>
        <w:tcBorders>
          <w:top w:val="double" w:sz="6" w:space="0" w:color="2AD4FF" w:themeColor="accent1" w:themeTint="BF"/>
          <w:left w:val="single" w:sz="8" w:space="0" w:color="2AD4FF" w:themeColor="accent1" w:themeTint="BF"/>
          <w:bottom w:val="single" w:sz="8" w:space="0" w:color="2AD4FF" w:themeColor="accent1" w:themeTint="BF"/>
          <w:right w:val="single" w:sz="8" w:space="0" w:color="2AD4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8F0FF" w:themeFill="accent1" w:themeFillTint="3F"/>
      </w:tcPr>
    </w:tblStylePr>
    <w:tblStylePr w:type="band1Horz">
      <w:tblPr/>
      <w:tcPr>
        <w:tcBorders>
          <w:insideH w:val="nil"/>
          <w:insideV w:val="nil"/>
        </w:tcBorders>
        <w:shd w:val="clear" w:color="auto" w:fill="B8F0FF" w:themeFill="accent1" w:themeFillTint="3F"/>
      </w:tcPr>
    </w:tblStylePr>
    <w:tblStylePr w:type="band2Horz">
      <w:tblPr/>
      <w:tcPr>
        <w:tcBorders>
          <w:insideH w:val="nil"/>
          <w:insideV w:val="nil"/>
        </w:tcBorders>
      </w:tcPr>
    </w:tblStylePr>
  </w:style>
  <w:style w:type="table" w:customStyle="1" w:styleId="MediumShading1-Accent21">
    <w:name w:val="Medium Shading 1 - Accent 21"/>
    <w:basedOn w:val="TableNormal"/>
    <w:next w:val="MediumShading1-Accent2"/>
    <w:uiPriority w:val="63"/>
    <w:semiHidden/>
    <w:unhideWhenUsed/>
    <w:rsid w:val="00826421"/>
    <w:tblPr>
      <w:tblStyleRowBandSize w:val="1"/>
      <w:tblStyleColBandSize w:val="1"/>
      <w:tblInd w:w="0" w:type="dxa"/>
      <w:tblBorders>
        <w:top w:val="single" w:sz="8" w:space="0" w:color="B6FF0E" w:themeColor="accent2" w:themeTint="BF"/>
        <w:left w:val="single" w:sz="8" w:space="0" w:color="B6FF0E" w:themeColor="accent2" w:themeTint="BF"/>
        <w:bottom w:val="single" w:sz="8" w:space="0" w:color="B6FF0E" w:themeColor="accent2" w:themeTint="BF"/>
        <w:right w:val="single" w:sz="8" w:space="0" w:color="B6FF0E" w:themeColor="accent2" w:themeTint="BF"/>
        <w:insideH w:val="single" w:sz="8" w:space="0" w:color="B6FF0E"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6FF0E" w:themeColor="accent2" w:themeTint="BF"/>
          <w:left w:val="single" w:sz="8" w:space="0" w:color="B6FF0E" w:themeColor="accent2" w:themeTint="BF"/>
          <w:bottom w:val="single" w:sz="8" w:space="0" w:color="B6FF0E" w:themeColor="accent2" w:themeTint="BF"/>
          <w:right w:val="single" w:sz="8" w:space="0" w:color="B6FF0E" w:themeColor="accent2" w:themeTint="BF"/>
          <w:insideH w:val="nil"/>
          <w:insideV w:val="nil"/>
        </w:tcBorders>
        <w:shd w:val="clear" w:color="auto" w:fill="84BD00" w:themeFill="accent2"/>
      </w:tcPr>
    </w:tblStylePr>
    <w:tblStylePr w:type="lastRow">
      <w:pPr>
        <w:spacing w:before="0" w:after="0" w:line="240" w:lineRule="auto"/>
      </w:pPr>
      <w:rPr>
        <w:b/>
        <w:bCs/>
      </w:rPr>
      <w:tblPr/>
      <w:tcPr>
        <w:tcBorders>
          <w:top w:val="double" w:sz="6" w:space="0" w:color="B6FF0E" w:themeColor="accent2" w:themeTint="BF"/>
          <w:left w:val="single" w:sz="8" w:space="0" w:color="B6FF0E" w:themeColor="accent2" w:themeTint="BF"/>
          <w:bottom w:val="single" w:sz="8" w:space="0" w:color="B6FF0E" w:themeColor="accent2" w:themeTint="BF"/>
          <w:right w:val="single" w:sz="8" w:space="0" w:color="B6FF0E" w:themeColor="accent2" w:themeTint="BF"/>
          <w:insideH w:val="nil"/>
          <w:insideV w:val="nil"/>
        </w:tcBorders>
      </w:tcPr>
    </w:tblStylePr>
    <w:tblStylePr w:type="firstCol">
      <w:rPr>
        <w:b/>
        <w:bCs/>
      </w:rPr>
    </w:tblStylePr>
    <w:tblStylePr w:type="lastCol">
      <w:rPr>
        <w:b/>
        <w:bCs/>
      </w:rPr>
    </w:tblStylePr>
    <w:tblStylePr w:type="band1Vert">
      <w:tblPr/>
      <w:tcPr>
        <w:shd w:val="clear" w:color="auto" w:fill="E7FFAF" w:themeFill="accent2" w:themeFillTint="3F"/>
      </w:tcPr>
    </w:tblStylePr>
    <w:tblStylePr w:type="band1Horz">
      <w:tblPr/>
      <w:tcPr>
        <w:tcBorders>
          <w:insideH w:val="nil"/>
          <w:insideV w:val="nil"/>
        </w:tcBorders>
        <w:shd w:val="clear" w:color="auto" w:fill="E7FFAF" w:themeFill="accent2" w:themeFillTint="3F"/>
      </w:tcPr>
    </w:tblStylePr>
    <w:tblStylePr w:type="band2Horz">
      <w:tblPr/>
      <w:tcPr>
        <w:tcBorders>
          <w:insideH w:val="nil"/>
          <w:insideV w:val="nil"/>
        </w:tcBorders>
      </w:tcPr>
    </w:tblStylePr>
  </w:style>
  <w:style w:type="table" w:customStyle="1" w:styleId="MediumShading1-Accent31">
    <w:name w:val="Medium Shading 1 - Accent 31"/>
    <w:basedOn w:val="TableNormal"/>
    <w:next w:val="MediumShading1-Accent3"/>
    <w:uiPriority w:val="63"/>
    <w:semiHidden/>
    <w:unhideWhenUsed/>
    <w:rsid w:val="00826421"/>
    <w:tblPr>
      <w:tblStyleRowBandSize w:val="1"/>
      <w:tblStyleColBandSize w:val="1"/>
      <w:tblInd w:w="0" w:type="dxa"/>
      <w:tblBorders>
        <w:top w:val="single" w:sz="8" w:space="0" w:color="F8A757" w:themeColor="accent3" w:themeTint="BF"/>
        <w:left w:val="single" w:sz="8" w:space="0" w:color="F8A757" w:themeColor="accent3" w:themeTint="BF"/>
        <w:bottom w:val="single" w:sz="8" w:space="0" w:color="F8A757" w:themeColor="accent3" w:themeTint="BF"/>
        <w:right w:val="single" w:sz="8" w:space="0" w:color="F8A757" w:themeColor="accent3" w:themeTint="BF"/>
        <w:insideH w:val="single" w:sz="8" w:space="0" w:color="F8A757"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8A757" w:themeColor="accent3" w:themeTint="BF"/>
          <w:left w:val="single" w:sz="8" w:space="0" w:color="F8A757" w:themeColor="accent3" w:themeTint="BF"/>
          <w:bottom w:val="single" w:sz="8" w:space="0" w:color="F8A757" w:themeColor="accent3" w:themeTint="BF"/>
          <w:right w:val="single" w:sz="8" w:space="0" w:color="F8A757" w:themeColor="accent3" w:themeTint="BF"/>
          <w:insideH w:val="nil"/>
          <w:insideV w:val="nil"/>
        </w:tcBorders>
        <w:shd w:val="clear" w:color="auto" w:fill="F68B1F" w:themeFill="accent3"/>
      </w:tcPr>
    </w:tblStylePr>
    <w:tblStylePr w:type="lastRow">
      <w:pPr>
        <w:spacing w:before="0" w:after="0" w:line="240" w:lineRule="auto"/>
      </w:pPr>
      <w:rPr>
        <w:b/>
        <w:bCs/>
      </w:rPr>
      <w:tblPr/>
      <w:tcPr>
        <w:tcBorders>
          <w:top w:val="double" w:sz="6" w:space="0" w:color="F8A757" w:themeColor="accent3" w:themeTint="BF"/>
          <w:left w:val="single" w:sz="8" w:space="0" w:color="F8A757" w:themeColor="accent3" w:themeTint="BF"/>
          <w:bottom w:val="single" w:sz="8" w:space="0" w:color="F8A757" w:themeColor="accent3" w:themeTint="BF"/>
          <w:right w:val="single" w:sz="8" w:space="0" w:color="F8A757" w:themeColor="accent3" w:themeTint="BF"/>
          <w:insideH w:val="nil"/>
          <w:insideV w:val="nil"/>
        </w:tcBorders>
      </w:tcPr>
    </w:tblStylePr>
    <w:tblStylePr w:type="firstCol">
      <w:rPr>
        <w:b/>
        <w:bCs/>
      </w:rPr>
    </w:tblStylePr>
    <w:tblStylePr w:type="lastCol">
      <w:rPr>
        <w:b/>
        <w:bCs/>
      </w:rPr>
    </w:tblStylePr>
    <w:tblStylePr w:type="band1Vert">
      <w:tblPr/>
      <w:tcPr>
        <w:shd w:val="clear" w:color="auto" w:fill="FCE2C7" w:themeFill="accent3" w:themeFillTint="3F"/>
      </w:tcPr>
    </w:tblStylePr>
    <w:tblStylePr w:type="band1Horz">
      <w:tblPr/>
      <w:tcPr>
        <w:tcBorders>
          <w:insideH w:val="nil"/>
          <w:insideV w:val="nil"/>
        </w:tcBorders>
        <w:shd w:val="clear" w:color="auto" w:fill="FCE2C7" w:themeFill="accent3" w:themeFillTint="3F"/>
      </w:tcPr>
    </w:tblStylePr>
    <w:tblStylePr w:type="band2Horz">
      <w:tblPr/>
      <w:tcPr>
        <w:tcBorders>
          <w:insideH w:val="nil"/>
          <w:insideV w:val="nil"/>
        </w:tcBorders>
      </w:tcPr>
    </w:tblStylePr>
  </w:style>
  <w:style w:type="table" w:customStyle="1" w:styleId="MediumShading1-Accent41">
    <w:name w:val="Medium Shading 1 - Accent 41"/>
    <w:basedOn w:val="TableNormal"/>
    <w:next w:val="MediumShading1-Accent4"/>
    <w:uiPriority w:val="63"/>
    <w:semiHidden/>
    <w:unhideWhenUsed/>
    <w:rsid w:val="00826421"/>
    <w:tblPr>
      <w:tblStyleRowBandSize w:val="1"/>
      <w:tblStyleColBandSize w:val="1"/>
      <w:tblInd w:w="0" w:type="dxa"/>
      <w:tblBorders>
        <w:top w:val="single" w:sz="8" w:space="0" w:color="F600C4" w:themeColor="accent4" w:themeTint="BF"/>
        <w:left w:val="single" w:sz="8" w:space="0" w:color="F600C4" w:themeColor="accent4" w:themeTint="BF"/>
        <w:bottom w:val="single" w:sz="8" w:space="0" w:color="F600C4" w:themeColor="accent4" w:themeTint="BF"/>
        <w:right w:val="single" w:sz="8" w:space="0" w:color="F600C4" w:themeColor="accent4" w:themeTint="BF"/>
        <w:insideH w:val="single" w:sz="8" w:space="0" w:color="F600C4"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600C4" w:themeColor="accent4" w:themeTint="BF"/>
          <w:left w:val="single" w:sz="8" w:space="0" w:color="F600C4" w:themeColor="accent4" w:themeTint="BF"/>
          <w:bottom w:val="single" w:sz="8" w:space="0" w:color="F600C4" w:themeColor="accent4" w:themeTint="BF"/>
          <w:right w:val="single" w:sz="8" w:space="0" w:color="F600C4" w:themeColor="accent4" w:themeTint="BF"/>
          <w:insideH w:val="nil"/>
          <w:insideV w:val="nil"/>
        </w:tcBorders>
        <w:shd w:val="clear" w:color="auto" w:fill="9E007E" w:themeFill="accent4"/>
      </w:tcPr>
    </w:tblStylePr>
    <w:tblStylePr w:type="lastRow">
      <w:pPr>
        <w:spacing w:before="0" w:after="0" w:line="240" w:lineRule="auto"/>
      </w:pPr>
      <w:rPr>
        <w:b/>
        <w:bCs/>
      </w:rPr>
      <w:tblPr/>
      <w:tcPr>
        <w:tcBorders>
          <w:top w:val="double" w:sz="6" w:space="0" w:color="F600C4" w:themeColor="accent4" w:themeTint="BF"/>
          <w:left w:val="single" w:sz="8" w:space="0" w:color="F600C4" w:themeColor="accent4" w:themeTint="BF"/>
          <w:bottom w:val="single" w:sz="8" w:space="0" w:color="F600C4" w:themeColor="accent4" w:themeTint="BF"/>
          <w:right w:val="single" w:sz="8" w:space="0" w:color="F600C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A8ED" w:themeFill="accent4" w:themeFillTint="3F"/>
      </w:tcPr>
    </w:tblStylePr>
    <w:tblStylePr w:type="band1Horz">
      <w:tblPr/>
      <w:tcPr>
        <w:tcBorders>
          <w:insideH w:val="nil"/>
          <w:insideV w:val="nil"/>
        </w:tcBorders>
        <w:shd w:val="clear" w:color="auto" w:fill="FFA8ED" w:themeFill="accent4" w:themeFillTint="3F"/>
      </w:tcPr>
    </w:tblStylePr>
    <w:tblStylePr w:type="band2Horz">
      <w:tblPr/>
      <w:tcPr>
        <w:tcBorders>
          <w:insideH w:val="nil"/>
          <w:insideV w:val="nil"/>
        </w:tcBorders>
      </w:tcPr>
    </w:tblStylePr>
  </w:style>
  <w:style w:type="table" w:customStyle="1" w:styleId="MediumShading1-Accent51">
    <w:name w:val="Medium Shading 1 - Accent 51"/>
    <w:basedOn w:val="TableNormal"/>
    <w:next w:val="MediumShading1-Accent5"/>
    <w:uiPriority w:val="63"/>
    <w:semiHidden/>
    <w:unhideWhenUsed/>
    <w:rsid w:val="00826421"/>
    <w:tblPr>
      <w:tblStyleRowBandSize w:val="1"/>
      <w:tblStyleColBandSize w:val="1"/>
      <w:tblInd w:w="0" w:type="dxa"/>
      <w:tblBorders>
        <w:top w:val="single" w:sz="8" w:space="0" w:color="FFEB4D" w:themeColor="accent5" w:themeTint="BF"/>
        <w:left w:val="single" w:sz="8" w:space="0" w:color="FFEB4D" w:themeColor="accent5" w:themeTint="BF"/>
        <w:bottom w:val="single" w:sz="8" w:space="0" w:color="FFEB4D" w:themeColor="accent5" w:themeTint="BF"/>
        <w:right w:val="single" w:sz="8" w:space="0" w:color="FFEB4D" w:themeColor="accent5" w:themeTint="BF"/>
        <w:insideH w:val="single" w:sz="8" w:space="0" w:color="FFEB4D"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FEB4D" w:themeColor="accent5" w:themeTint="BF"/>
          <w:left w:val="single" w:sz="8" w:space="0" w:color="FFEB4D" w:themeColor="accent5" w:themeTint="BF"/>
          <w:bottom w:val="single" w:sz="8" w:space="0" w:color="FFEB4D" w:themeColor="accent5" w:themeTint="BF"/>
          <w:right w:val="single" w:sz="8" w:space="0" w:color="FFEB4D" w:themeColor="accent5" w:themeTint="BF"/>
          <w:insideH w:val="nil"/>
          <w:insideV w:val="nil"/>
        </w:tcBorders>
        <w:shd w:val="clear" w:color="auto" w:fill="FFE512" w:themeFill="accent5"/>
      </w:tcPr>
    </w:tblStylePr>
    <w:tblStylePr w:type="lastRow">
      <w:pPr>
        <w:spacing w:before="0" w:after="0" w:line="240" w:lineRule="auto"/>
      </w:pPr>
      <w:rPr>
        <w:b/>
        <w:bCs/>
      </w:rPr>
      <w:tblPr/>
      <w:tcPr>
        <w:tcBorders>
          <w:top w:val="double" w:sz="6" w:space="0" w:color="FFEB4D" w:themeColor="accent5" w:themeTint="BF"/>
          <w:left w:val="single" w:sz="8" w:space="0" w:color="FFEB4D" w:themeColor="accent5" w:themeTint="BF"/>
          <w:bottom w:val="single" w:sz="8" w:space="0" w:color="FFEB4D" w:themeColor="accent5" w:themeTint="BF"/>
          <w:right w:val="single" w:sz="8" w:space="0" w:color="FFEB4D"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F8C4" w:themeFill="accent5" w:themeFillTint="3F"/>
      </w:tcPr>
    </w:tblStylePr>
    <w:tblStylePr w:type="band1Horz">
      <w:tblPr/>
      <w:tcPr>
        <w:tcBorders>
          <w:insideH w:val="nil"/>
          <w:insideV w:val="nil"/>
        </w:tcBorders>
        <w:shd w:val="clear" w:color="auto" w:fill="FFF8C4" w:themeFill="accent5" w:themeFillTint="3F"/>
      </w:tcPr>
    </w:tblStylePr>
    <w:tblStylePr w:type="band2Horz">
      <w:tblPr/>
      <w:tcPr>
        <w:tcBorders>
          <w:insideH w:val="nil"/>
          <w:insideV w:val="nil"/>
        </w:tcBorders>
      </w:tcPr>
    </w:tblStylePr>
  </w:style>
  <w:style w:type="table" w:customStyle="1" w:styleId="MediumShading1-Accent61">
    <w:name w:val="Medium Shading 1 - Accent 61"/>
    <w:basedOn w:val="TableNormal"/>
    <w:next w:val="MediumShading1-Accent6"/>
    <w:uiPriority w:val="63"/>
    <w:semiHidden/>
    <w:unhideWhenUsed/>
    <w:rsid w:val="00826421"/>
    <w:tblPr>
      <w:tblStyleRowBandSize w:val="1"/>
      <w:tblStyleColBandSize w:val="1"/>
      <w:tblInd w:w="0" w:type="dxa"/>
      <w:tblBorders>
        <w:top w:val="single" w:sz="8" w:space="0" w:color="A8A19A" w:themeColor="accent6" w:themeTint="BF"/>
        <w:left w:val="single" w:sz="8" w:space="0" w:color="A8A19A" w:themeColor="accent6" w:themeTint="BF"/>
        <w:bottom w:val="single" w:sz="8" w:space="0" w:color="A8A19A" w:themeColor="accent6" w:themeTint="BF"/>
        <w:right w:val="single" w:sz="8" w:space="0" w:color="A8A19A" w:themeColor="accent6" w:themeTint="BF"/>
        <w:insideH w:val="single" w:sz="8" w:space="0" w:color="A8A19A"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A8A19A" w:themeColor="accent6" w:themeTint="BF"/>
          <w:left w:val="single" w:sz="8" w:space="0" w:color="A8A19A" w:themeColor="accent6" w:themeTint="BF"/>
          <w:bottom w:val="single" w:sz="8" w:space="0" w:color="A8A19A" w:themeColor="accent6" w:themeTint="BF"/>
          <w:right w:val="single" w:sz="8" w:space="0" w:color="A8A19A" w:themeColor="accent6" w:themeTint="BF"/>
          <w:insideH w:val="nil"/>
          <w:insideV w:val="nil"/>
        </w:tcBorders>
        <w:shd w:val="clear" w:color="auto" w:fill="8C8279" w:themeFill="accent6"/>
      </w:tcPr>
    </w:tblStylePr>
    <w:tblStylePr w:type="lastRow">
      <w:pPr>
        <w:spacing w:before="0" w:after="0" w:line="240" w:lineRule="auto"/>
      </w:pPr>
      <w:rPr>
        <w:b/>
        <w:bCs/>
      </w:rPr>
      <w:tblPr/>
      <w:tcPr>
        <w:tcBorders>
          <w:top w:val="double" w:sz="6" w:space="0" w:color="A8A19A" w:themeColor="accent6" w:themeTint="BF"/>
          <w:left w:val="single" w:sz="8" w:space="0" w:color="A8A19A" w:themeColor="accent6" w:themeTint="BF"/>
          <w:bottom w:val="single" w:sz="8" w:space="0" w:color="A8A19A" w:themeColor="accent6" w:themeTint="BF"/>
          <w:right w:val="single" w:sz="8" w:space="0" w:color="A8A19A" w:themeColor="accent6" w:themeTint="BF"/>
          <w:insideH w:val="nil"/>
          <w:insideV w:val="nil"/>
        </w:tcBorders>
      </w:tcPr>
    </w:tblStylePr>
    <w:tblStylePr w:type="firstCol">
      <w:rPr>
        <w:b/>
        <w:bCs/>
      </w:rPr>
    </w:tblStylePr>
    <w:tblStylePr w:type="lastCol">
      <w:rPr>
        <w:b/>
        <w:bCs/>
      </w:rPr>
    </w:tblStylePr>
    <w:tblStylePr w:type="band1Vert">
      <w:tblPr/>
      <w:tcPr>
        <w:shd w:val="clear" w:color="auto" w:fill="E2E0DD" w:themeFill="accent6" w:themeFillTint="3F"/>
      </w:tcPr>
    </w:tblStylePr>
    <w:tblStylePr w:type="band1Horz">
      <w:tblPr/>
      <w:tcPr>
        <w:tcBorders>
          <w:insideH w:val="nil"/>
          <w:insideV w:val="nil"/>
        </w:tcBorders>
        <w:shd w:val="clear" w:color="auto" w:fill="E2E0DD" w:themeFill="accent6" w:themeFillTint="3F"/>
      </w:tcPr>
    </w:tblStylePr>
    <w:tblStylePr w:type="band2Horz">
      <w:tblPr/>
      <w:tcPr>
        <w:tcBorders>
          <w:insideH w:val="nil"/>
          <w:insideV w:val="nil"/>
        </w:tcBorders>
      </w:tcPr>
    </w:tblStylePr>
  </w:style>
  <w:style w:type="table" w:customStyle="1" w:styleId="MediumShading21">
    <w:name w:val="Medium Shading 21"/>
    <w:basedOn w:val="TableNormal"/>
    <w:next w:val="MediumShading2"/>
    <w:uiPriority w:val="64"/>
    <w:semiHidden/>
    <w:unhideWhenUsed/>
    <w:rsid w:val="00826421"/>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next w:val="MediumShading2-Accent1"/>
    <w:uiPriority w:val="64"/>
    <w:semiHidden/>
    <w:unhideWhenUsed/>
    <w:rsid w:val="00826421"/>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5E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5E2" w:themeFill="accent1"/>
      </w:tcPr>
    </w:tblStylePr>
    <w:tblStylePr w:type="lastCol">
      <w:rPr>
        <w:b/>
        <w:bCs/>
        <w:color w:val="FFFFFF" w:themeColor="background1"/>
      </w:rPr>
      <w:tblPr/>
      <w:tcPr>
        <w:tcBorders>
          <w:left w:val="nil"/>
          <w:right w:val="nil"/>
          <w:insideH w:val="nil"/>
          <w:insideV w:val="nil"/>
        </w:tcBorders>
        <w:shd w:val="clear" w:color="auto" w:fill="00B5E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1">
    <w:name w:val="Medium Shading 2 - Accent 21"/>
    <w:basedOn w:val="TableNormal"/>
    <w:next w:val="MediumShading2-Accent2"/>
    <w:uiPriority w:val="64"/>
    <w:semiHidden/>
    <w:unhideWhenUsed/>
    <w:rsid w:val="00826421"/>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4BD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4BD00" w:themeFill="accent2"/>
      </w:tcPr>
    </w:tblStylePr>
    <w:tblStylePr w:type="lastCol">
      <w:rPr>
        <w:b/>
        <w:bCs/>
        <w:color w:val="FFFFFF" w:themeColor="background1"/>
      </w:rPr>
      <w:tblPr/>
      <w:tcPr>
        <w:tcBorders>
          <w:left w:val="nil"/>
          <w:right w:val="nil"/>
          <w:insideH w:val="nil"/>
          <w:insideV w:val="nil"/>
        </w:tcBorders>
        <w:shd w:val="clear" w:color="auto" w:fill="84BD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1">
    <w:name w:val="Medium Shading 2 - Accent 31"/>
    <w:basedOn w:val="TableNormal"/>
    <w:next w:val="MediumShading2-Accent3"/>
    <w:uiPriority w:val="64"/>
    <w:semiHidden/>
    <w:unhideWhenUsed/>
    <w:rsid w:val="00826421"/>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68B1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68B1F" w:themeFill="accent3"/>
      </w:tcPr>
    </w:tblStylePr>
    <w:tblStylePr w:type="lastCol">
      <w:rPr>
        <w:b/>
        <w:bCs/>
        <w:color w:val="FFFFFF" w:themeColor="background1"/>
      </w:rPr>
      <w:tblPr/>
      <w:tcPr>
        <w:tcBorders>
          <w:left w:val="nil"/>
          <w:right w:val="nil"/>
          <w:insideH w:val="nil"/>
          <w:insideV w:val="nil"/>
        </w:tcBorders>
        <w:shd w:val="clear" w:color="auto" w:fill="F68B1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1">
    <w:name w:val="Medium Shading 2 - Accent 41"/>
    <w:basedOn w:val="TableNormal"/>
    <w:next w:val="MediumShading2-Accent4"/>
    <w:uiPriority w:val="64"/>
    <w:semiHidden/>
    <w:unhideWhenUsed/>
    <w:rsid w:val="00826421"/>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E007E"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E007E" w:themeFill="accent4"/>
      </w:tcPr>
    </w:tblStylePr>
    <w:tblStylePr w:type="lastCol">
      <w:rPr>
        <w:b/>
        <w:bCs/>
        <w:color w:val="FFFFFF" w:themeColor="background1"/>
      </w:rPr>
      <w:tblPr/>
      <w:tcPr>
        <w:tcBorders>
          <w:left w:val="nil"/>
          <w:right w:val="nil"/>
          <w:insideH w:val="nil"/>
          <w:insideV w:val="nil"/>
        </w:tcBorders>
        <w:shd w:val="clear" w:color="auto" w:fill="9E007E"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1">
    <w:name w:val="Medium Shading 2 - Accent 51"/>
    <w:basedOn w:val="TableNormal"/>
    <w:next w:val="MediumShading2-Accent5"/>
    <w:uiPriority w:val="64"/>
    <w:semiHidden/>
    <w:unhideWhenUsed/>
    <w:rsid w:val="00826421"/>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E512"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E512" w:themeFill="accent5"/>
      </w:tcPr>
    </w:tblStylePr>
    <w:tblStylePr w:type="lastCol">
      <w:rPr>
        <w:b/>
        <w:bCs/>
        <w:color w:val="FFFFFF" w:themeColor="background1"/>
      </w:rPr>
      <w:tblPr/>
      <w:tcPr>
        <w:tcBorders>
          <w:left w:val="nil"/>
          <w:right w:val="nil"/>
          <w:insideH w:val="nil"/>
          <w:insideV w:val="nil"/>
        </w:tcBorders>
        <w:shd w:val="clear" w:color="auto" w:fill="FFE512"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1">
    <w:name w:val="Medium Shading 2 - Accent 61"/>
    <w:basedOn w:val="TableNormal"/>
    <w:next w:val="MediumShading2-Accent6"/>
    <w:uiPriority w:val="64"/>
    <w:semiHidden/>
    <w:unhideWhenUsed/>
    <w:rsid w:val="00826421"/>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C8279"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C8279" w:themeFill="accent6"/>
      </w:tcPr>
    </w:tblStylePr>
    <w:tblStylePr w:type="lastCol">
      <w:rPr>
        <w:b/>
        <w:bCs/>
        <w:color w:val="FFFFFF" w:themeColor="background1"/>
      </w:rPr>
      <w:tblPr/>
      <w:tcPr>
        <w:tcBorders>
          <w:left w:val="nil"/>
          <w:right w:val="nil"/>
          <w:insideH w:val="nil"/>
          <w:insideV w:val="nil"/>
        </w:tcBorders>
        <w:shd w:val="clear" w:color="auto" w:fill="8C8279"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3Deffects11">
    <w:name w:val="Table 3D effects 11"/>
    <w:basedOn w:val="TableNormal"/>
    <w:next w:val="Table3Deffects1"/>
    <w:uiPriority w:val="99"/>
    <w:semiHidden/>
    <w:unhideWhenUsed/>
    <w:rsid w:val="00826421"/>
    <w:pPr>
      <w:spacing w:line="240" w:lineRule="atLeas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uiPriority w:val="99"/>
    <w:semiHidden/>
    <w:unhideWhenUsed/>
    <w:rsid w:val="00826421"/>
    <w:pPr>
      <w:spacing w:line="240" w:lineRule="atLeas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uiPriority w:val="99"/>
    <w:semiHidden/>
    <w:unhideWhenUsed/>
    <w:rsid w:val="00826421"/>
    <w:pPr>
      <w:spacing w:line="240" w:lineRule="atLeas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uiPriority w:val="99"/>
    <w:semiHidden/>
    <w:unhideWhenUsed/>
    <w:rsid w:val="00826421"/>
    <w:pPr>
      <w:spacing w:line="24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uiPriority w:val="99"/>
    <w:semiHidden/>
    <w:unhideWhenUsed/>
    <w:rsid w:val="00826421"/>
    <w:pPr>
      <w:spacing w:line="24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uiPriority w:val="99"/>
    <w:semiHidden/>
    <w:unhideWhenUsed/>
    <w:rsid w:val="00826421"/>
    <w:pPr>
      <w:spacing w:line="240" w:lineRule="atLeas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uiPriority w:val="99"/>
    <w:semiHidden/>
    <w:unhideWhenUsed/>
    <w:rsid w:val="00826421"/>
    <w:pPr>
      <w:spacing w:line="240" w:lineRule="atLeas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uiPriority w:val="99"/>
    <w:semiHidden/>
    <w:unhideWhenUsed/>
    <w:rsid w:val="00826421"/>
    <w:pPr>
      <w:spacing w:line="240" w:lineRule="atLeas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uiPriority w:val="99"/>
    <w:semiHidden/>
    <w:unhideWhenUsed/>
    <w:rsid w:val="00826421"/>
    <w:pPr>
      <w:spacing w:line="240" w:lineRule="atLeas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uiPriority w:val="99"/>
    <w:semiHidden/>
    <w:unhideWhenUsed/>
    <w:rsid w:val="00826421"/>
    <w:pPr>
      <w:spacing w:line="240" w:lineRule="atLeas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uiPriority w:val="99"/>
    <w:semiHidden/>
    <w:unhideWhenUsed/>
    <w:rsid w:val="00826421"/>
    <w:pPr>
      <w:spacing w:line="240" w:lineRule="atLeas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uiPriority w:val="99"/>
    <w:semiHidden/>
    <w:unhideWhenUsed/>
    <w:rsid w:val="00826421"/>
    <w:pPr>
      <w:spacing w:line="240" w:lineRule="atLeas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uiPriority w:val="99"/>
    <w:semiHidden/>
    <w:unhideWhenUsed/>
    <w:rsid w:val="00826421"/>
    <w:pPr>
      <w:spacing w:line="240" w:lineRule="atLeas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uiPriority w:val="99"/>
    <w:semiHidden/>
    <w:unhideWhenUsed/>
    <w:rsid w:val="00826421"/>
    <w:pPr>
      <w:spacing w:line="240" w:lineRule="atLeas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uiPriority w:val="99"/>
    <w:semiHidden/>
    <w:unhideWhenUsed/>
    <w:rsid w:val="00826421"/>
    <w:pPr>
      <w:spacing w:line="240" w:lineRule="atLeas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uiPriority w:val="99"/>
    <w:semiHidden/>
    <w:unhideWhenUsed/>
    <w:rsid w:val="00826421"/>
    <w:pPr>
      <w:spacing w:line="240" w:lineRule="atLeas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uiPriority w:val="99"/>
    <w:semiHidden/>
    <w:unhideWhenUsed/>
    <w:rsid w:val="00826421"/>
    <w:pPr>
      <w:spacing w:line="240" w:lineRule="atLeas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 11"/>
    <w:basedOn w:val="TableNormal"/>
    <w:next w:val="TableGrid1"/>
    <w:uiPriority w:val="99"/>
    <w:semiHidden/>
    <w:unhideWhenUsed/>
    <w:rsid w:val="00826421"/>
    <w:pPr>
      <w:spacing w:line="24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
    <w:uiPriority w:val="99"/>
    <w:semiHidden/>
    <w:unhideWhenUsed/>
    <w:rsid w:val="00826421"/>
    <w:pPr>
      <w:spacing w:line="240" w:lineRule="atLeas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uiPriority w:val="99"/>
    <w:semiHidden/>
    <w:unhideWhenUsed/>
    <w:rsid w:val="00826421"/>
    <w:pPr>
      <w:spacing w:line="240" w:lineRule="atLeas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uiPriority w:val="99"/>
    <w:semiHidden/>
    <w:unhideWhenUsed/>
    <w:rsid w:val="00826421"/>
    <w:pPr>
      <w:spacing w:line="240" w:lineRule="atLeas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uiPriority w:val="99"/>
    <w:semiHidden/>
    <w:unhideWhenUsed/>
    <w:rsid w:val="00826421"/>
    <w:pPr>
      <w:spacing w:line="24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uiPriority w:val="99"/>
    <w:semiHidden/>
    <w:unhideWhenUsed/>
    <w:rsid w:val="00826421"/>
    <w:pPr>
      <w:spacing w:line="240" w:lineRule="atLeas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uiPriority w:val="99"/>
    <w:semiHidden/>
    <w:unhideWhenUsed/>
    <w:rsid w:val="00826421"/>
    <w:pPr>
      <w:spacing w:line="240" w:lineRule="atLeas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uiPriority w:val="99"/>
    <w:semiHidden/>
    <w:unhideWhenUsed/>
    <w:rsid w:val="00826421"/>
    <w:pPr>
      <w:spacing w:line="240" w:lineRule="atLeas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uiPriority w:val="99"/>
    <w:semiHidden/>
    <w:unhideWhenUsed/>
    <w:rsid w:val="00826421"/>
    <w:pPr>
      <w:spacing w:line="240" w:lineRule="atLeas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uiPriority w:val="99"/>
    <w:semiHidden/>
    <w:unhideWhenUsed/>
    <w:rsid w:val="00826421"/>
    <w:pPr>
      <w:spacing w:line="240" w:lineRule="atLeas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uiPriority w:val="99"/>
    <w:semiHidden/>
    <w:unhideWhenUsed/>
    <w:rsid w:val="00826421"/>
    <w:pPr>
      <w:spacing w:line="240" w:lineRule="atLeas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uiPriority w:val="99"/>
    <w:semiHidden/>
    <w:unhideWhenUsed/>
    <w:rsid w:val="00826421"/>
    <w:pPr>
      <w:spacing w:line="24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uiPriority w:val="99"/>
    <w:semiHidden/>
    <w:unhideWhenUsed/>
    <w:rsid w:val="00826421"/>
    <w:pPr>
      <w:spacing w:line="24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uiPriority w:val="99"/>
    <w:semiHidden/>
    <w:unhideWhenUsed/>
    <w:rsid w:val="00826421"/>
    <w:pPr>
      <w:spacing w:line="240" w:lineRule="atLeas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uiPriority w:val="99"/>
    <w:semiHidden/>
    <w:unhideWhenUsed/>
    <w:rsid w:val="00826421"/>
    <w:pPr>
      <w:spacing w:line="240" w:lineRule="atLeas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uiPriority w:val="99"/>
    <w:semiHidden/>
    <w:unhideWhenUsed/>
    <w:rsid w:val="00826421"/>
    <w:pPr>
      <w:spacing w:line="240" w:lineRule="atLeas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uiPriority w:val="99"/>
    <w:semiHidden/>
    <w:unhideWhenUsed/>
    <w:rsid w:val="00826421"/>
    <w:pPr>
      <w:spacing w:line="24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uiPriority w:val="99"/>
    <w:semiHidden/>
    <w:unhideWhenUsed/>
    <w:rsid w:val="00826421"/>
    <w:pPr>
      <w:spacing w:line="240" w:lineRule="atLeas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uiPriority w:val="99"/>
    <w:semiHidden/>
    <w:unhideWhenUsed/>
    <w:rsid w:val="00826421"/>
    <w:pPr>
      <w:spacing w:line="240" w:lineRule="atLeas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uiPriority w:val="99"/>
    <w:semiHidden/>
    <w:unhideWhenUsed/>
    <w:rsid w:val="00826421"/>
    <w:pPr>
      <w:spacing w:line="240" w:lineRule="atLeas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uiPriority w:val="99"/>
    <w:semiHidden/>
    <w:unhideWhenUsed/>
    <w:rsid w:val="00826421"/>
    <w:pPr>
      <w:spacing w:line="240" w:lineRule="atLeas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uiPriority w:val="99"/>
    <w:semiHidden/>
    <w:unhideWhenUsed/>
    <w:rsid w:val="00826421"/>
    <w:pPr>
      <w:spacing w:line="240" w:lineRule="atLeas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uiPriority w:val="99"/>
    <w:semiHidden/>
    <w:unhideWhenUsed/>
    <w:rsid w:val="00826421"/>
    <w:pPr>
      <w:spacing w:line="24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1">
    <w:name w:val="Table Web 11"/>
    <w:basedOn w:val="TableNormal"/>
    <w:next w:val="TableWeb1"/>
    <w:uiPriority w:val="99"/>
    <w:semiHidden/>
    <w:unhideWhenUsed/>
    <w:rsid w:val="00826421"/>
    <w:pPr>
      <w:spacing w:line="240" w:lineRule="atLeas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uiPriority w:val="99"/>
    <w:semiHidden/>
    <w:unhideWhenUsed/>
    <w:rsid w:val="00826421"/>
    <w:pPr>
      <w:spacing w:line="240" w:lineRule="atLeas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uiPriority w:val="99"/>
    <w:semiHidden/>
    <w:unhideWhenUsed/>
    <w:rsid w:val="00826421"/>
    <w:pPr>
      <w:spacing w:line="240" w:lineRule="atLeas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AECOMNumbering1">
    <w:name w:val="AECOM Numbering1"/>
    <w:basedOn w:val="NoList"/>
    <w:uiPriority w:val="99"/>
    <w:semiHidden/>
    <w:unhideWhenUsed/>
    <w:rsid w:val="00826421"/>
  </w:style>
  <w:style w:type="numbering" w:customStyle="1" w:styleId="AECOMAppendix1">
    <w:name w:val="AECOM Appendix1"/>
    <w:uiPriority w:val="99"/>
    <w:semiHidden/>
    <w:unhideWhenUsed/>
    <w:rsid w:val="00826421"/>
  </w:style>
  <w:style w:type="table" w:customStyle="1" w:styleId="Plaingrid1">
    <w:name w:val="Plain grid1"/>
    <w:basedOn w:val="TableNormal"/>
    <w:uiPriority w:val="99"/>
    <w:semiHidden/>
    <w:unhideWhenUsed/>
    <w:rsid w:val="00826421"/>
    <w:tblPr>
      <w:tblInd w:w="0" w:type="dxa"/>
      <w:tblCellMar>
        <w:top w:w="0" w:type="dxa"/>
        <w:left w:w="0" w:type="dxa"/>
        <w:bottom w:w="0" w:type="dxa"/>
        <w:right w:w="108" w:type="dxa"/>
      </w:tblCellMar>
    </w:tblPr>
  </w:style>
  <w:style w:type="table" w:customStyle="1" w:styleId="Tablenoborders1">
    <w:name w:val="Table no borders1"/>
    <w:basedOn w:val="TableNormal"/>
    <w:uiPriority w:val="99"/>
    <w:semiHidden/>
    <w:unhideWhenUsed/>
    <w:rsid w:val="00826421"/>
    <w:tblPr>
      <w:tblInd w:w="0" w:type="dxa"/>
      <w:tblCellMar>
        <w:top w:w="0" w:type="dxa"/>
        <w:left w:w="0" w:type="dxa"/>
        <w:bottom w:w="0" w:type="dxa"/>
        <w:right w:w="0" w:type="dxa"/>
      </w:tblCellMar>
    </w:tblPr>
  </w:style>
  <w:style w:type="table" w:customStyle="1" w:styleId="AECOMcolouredtable1">
    <w:name w:val="AECOM coloured table1"/>
    <w:basedOn w:val="TableNormal"/>
    <w:uiPriority w:val="99"/>
    <w:semiHidden/>
    <w:unhideWhenUsed/>
    <w:rsid w:val="00826421"/>
    <w:tblPr>
      <w:tblStyleRowBandSize w:val="1"/>
      <w:tblInd w:w="0" w:type="dxa"/>
      <w:tblCellMar>
        <w:top w:w="0" w:type="dxa"/>
        <w:left w:w="108" w:type="dxa"/>
        <w:bottom w:w="0" w:type="dxa"/>
        <w:right w:w="108" w:type="dxa"/>
      </w:tblCellMar>
    </w:tblPr>
    <w:tblStylePr w:type="firstRow">
      <w:rPr>
        <w:b/>
        <w:color w:val="FFFFFF" w:themeColor="background1"/>
      </w:rPr>
      <w:tblPr/>
      <w:tcPr>
        <w:tcBorders>
          <w:bottom w:val="single" w:sz="12" w:space="0" w:color="FFFFFF" w:themeColor="background1"/>
          <w:insideV w:val="single" w:sz="4" w:space="0" w:color="FFFFFF" w:themeColor="background1"/>
        </w:tcBorders>
        <w:shd w:val="clear" w:color="auto" w:fill="00B5E2" w:themeFill="accent1"/>
      </w:tcPr>
    </w:tblStylePr>
    <w:tblStylePr w:type="firstCol">
      <w:rPr>
        <w:b/>
        <w:color w:val="FFFFFF" w:themeColor="background1"/>
      </w:rPr>
      <w:tblPr/>
      <w:tcPr>
        <w:tcBorders>
          <w:right w:val="single" w:sz="12" w:space="0" w:color="FFFFFF" w:themeColor="background1"/>
        </w:tcBorders>
        <w:shd w:val="clear" w:color="auto" w:fill="00B5E2" w:themeFill="accent1"/>
      </w:tcPr>
    </w:tblStylePr>
    <w:tblStylePr w:type="band1Horz">
      <w:tblPr/>
      <w:tcPr>
        <w:shd w:val="clear" w:color="auto" w:fill="C6F3FF" w:themeFill="accent1" w:themeFillTint="33"/>
      </w:tcPr>
    </w:tblStylePr>
    <w:tblStylePr w:type="band2Horz">
      <w:tblPr/>
      <w:tcPr>
        <w:shd w:val="clear" w:color="auto" w:fill="8DE8FF" w:themeFill="accent1" w:themeFillTint="66"/>
      </w:tcPr>
    </w:tblStylePr>
  </w:style>
  <w:style w:type="table" w:customStyle="1" w:styleId="AECOMtable11">
    <w:name w:val="AECOM table11"/>
    <w:basedOn w:val="TableNormal"/>
    <w:uiPriority w:val="99"/>
    <w:unhideWhenUsed/>
    <w:rsid w:val="00826421"/>
    <w:rPr>
      <w:sz w:val="16"/>
    </w:rPr>
    <w:tblPr>
      <w:tblInd w:w="0" w:type="dxa"/>
      <w:tblBorders>
        <w:insideH w:val="single" w:sz="4" w:space="0" w:color="auto"/>
      </w:tblBorders>
      <w:tblCellMar>
        <w:top w:w="28" w:type="dxa"/>
        <w:left w:w="0" w:type="dxa"/>
        <w:bottom w:w="28" w:type="dxa"/>
        <w:right w:w="113" w:type="dxa"/>
      </w:tblCellMar>
    </w:tblPr>
    <w:tblStylePr w:type="firstRow">
      <w:rPr>
        <w:rFonts w:asciiTheme="majorHAnsi" w:hAnsiTheme="majorHAnsi"/>
        <w:b/>
        <w:color w:val="00B5E2" w:themeColor="accent1"/>
        <w:sz w:val="16"/>
      </w:rPr>
      <w:tblPr/>
      <w:tcPr>
        <w:tcBorders>
          <w:top w:val="nil"/>
          <w:left w:val="nil"/>
          <w:bottom w:val="single" w:sz="12" w:space="0" w:color="00B5E2" w:themeColor="accent1"/>
          <w:right w:val="nil"/>
          <w:insideH w:val="nil"/>
          <w:insideV w:val="nil"/>
          <w:tl2br w:val="nil"/>
          <w:tr2bl w:val="nil"/>
        </w:tcBorders>
      </w:tcPr>
    </w:tblStylePr>
  </w:style>
  <w:style w:type="table" w:customStyle="1" w:styleId="TableGrid110">
    <w:name w:val="Table Grid11"/>
    <w:basedOn w:val="TableNormal"/>
    <w:next w:val="TableGrid"/>
    <w:uiPriority w:val="59"/>
    <w:unhideWhenUsed/>
    <w:rsid w:val="00826421"/>
    <w:rPr>
      <w:sz w:val="1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
    <w:tblStylePr w:type="firstRow">
      <w:rPr>
        <w:rFonts w:ascii="Arial" w:hAnsi="Arial"/>
        <w:b w:val="0"/>
      </w:rPr>
    </w:tblStylePr>
  </w:style>
  <w:style w:type="table" w:customStyle="1" w:styleId="Style111">
    <w:name w:val="Style111"/>
    <w:basedOn w:val="TableNormal"/>
    <w:uiPriority w:val="99"/>
    <w:rsid w:val="00826421"/>
    <w:pPr>
      <w:ind w:left="567"/>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cPr>
    <w:tblStylePr w:type="firstRow">
      <w:tblPr/>
      <w:tcPr>
        <w:shd w:val="clear" w:color="auto" w:fill="000000"/>
      </w:tcPr>
    </w:tblStylePr>
  </w:style>
  <w:style w:type="table" w:customStyle="1" w:styleId="TableGrid22">
    <w:name w:val="Table Grid22"/>
    <w:basedOn w:val="TableNormal"/>
    <w:next w:val="TableGrid"/>
    <w:uiPriority w:val="59"/>
    <w:unhideWhenUsed/>
    <w:rsid w:val="00826421"/>
    <w:rPr>
      <w:rFonts w:eastAsia="SimSun"/>
      <w:sz w:val="1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
    <w:tblStylePr w:type="firstRow">
      <w:rPr>
        <w:rFonts w:ascii="Arial" w:hAnsi="Arial"/>
        <w:b w:val="0"/>
      </w:rPr>
    </w:tblStylePr>
  </w:style>
  <w:style w:type="table" w:customStyle="1" w:styleId="ListTable311">
    <w:name w:val="List Table 311"/>
    <w:basedOn w:val="TableNormal"/>
    <w:uiPriority w:val="48"/>
    <w:rsid w:val="00826421"/>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TableGrid211">
    <w:name w:val="Table Grid211"/>
    <w:basedOn w:val="TableNormal"/>
    <w:next w:val="TableGrid"/>
    <w:uiPriority w:val="59"/>
    <w:unhideWhenUsed/>
    <w:rsid w:val="00826421"/>
    <w:rPr>
      <w:sz w:val="1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
    <w:tblStylePr w:type="firstRow">
      <w:rPr>
        <w:rFonts w:asciiTheme="majorHAnsi" w:hAnsiTheme="majorHAnsi"/>
        <w:b w:val="0"/>
      </w:rPr>
    </w:tblStylePr>
  </w:style>
  <w:style w:type="table" w:customStyle="1" w:styleId="Style12">
    <w:name w:val="Style12"/>
    <w:basedOn w:val="TableNormal"/>
    <w:uiPriority w:val="99"/>
    <w:rsid w:val="00826421"/>
    <w:pPr>
      <w:ind w:left="567"/>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tcPr>
    <w:tblStylePr w:type="firstRow">
      <w:tblPr/>
      <w:tcPr>
        <w:shd w:val="clear" w:color="auto" w:fill="000000" w:themeFill="text1"/>
      </w:tcPr>
    </w:tblStylePr>
  </w:style>
  <w:style w:type="table" w:customStyle="1" w:styleId="TableGrid310">
    <w:name w:val="Table Grid31"/>
    <w:basedOn w:val="TableNormal"/>
    <w:next w:val="TableGrid"/>
    <w:uiPriority w:val="59"/>
    <w:unhideWhenUsed/>
    <w:rsid w:val="00826421"/>
    <w:rPr>
      <w:sz w:val="1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
    <w:tblStylePr w:type="firstRow">
      <w:rPr>
        <w:rFonts w:asciiTheme="majorHAnsi" w:hAnsiTheme="majorHAnsi"/>
        <w:b w:val="0"/>
      </w:rPr>
    </w:tblStylePr>
  </w:style>
</w:styles>
</file>

<file path=word/webSettings.xml><?xml version="1.0" encoding="utf-8"?>
<w:webSettings xmlns:r="http://schemas.openxmlformats.org/officeDocument/2006/relationships" xmlns:w="http://schemas.openxmlformats.org/wordprocessingml/2006/main">
  <w:divs>
    <w:div w:id="5207892">
      <w:bodyDiv w:val="1"/>
      <w:marLeft w:val="0"/>
      <w:marRight w:val="0"/>
      <w:marTop w:val="0"/>
      <w:marBottom w:val="0"/>
      <w:divBdr>
        <w:top w:val="none" w:sz="0" w:space="0" w:color="auto"/>
        <w:left w:val="none" w:sz="0" w:space="0" w:color="auto"/>
        <w:bottom w:val="none" w:sz="0" w:space="0" w:color="auto"/>
        <w:right w:val="none" w:sz="0" w:space="0" w:color="auto"/>
      </w:divBdr>
    </w:div>
    <w:div w:id="20782967">
      <w:bodyDiv w:val="1"/>
      <w:marLeft w:val="0"/>
      <w:marRight w:val="0"/>
      <w:marTop w:val="0"/>
      <w:marBottom w:val="0"/>
      <w:divBdr>
        <w:top w:val="none" w:sz="0" w:space="0" w:color="auto"/>
        <w:left w:val="none" w:sz="0" w:space="0" w:color="auto"/>
        <w:bottom w:val="none" w:sz="0" w:space="0" w:color="auto"/>
        <w:right w:val="none" w:sz="0" w:space="0" w:color="auto"/>
      </w:divBdr>
    </w:div>
    <w:div w:id="45615942">
      <w:bodyDiv w:val="1"/>
      <w:marLeft w:val="0"/>
      <w:marRight w:val="0"/>
      <w:marTop w:val="0"/>
      <w:marBottom w:val="0"/>
      <w:divBdr>
        <w:top w:val="none" w:sz="0" w:space="0" w:color="auto"/>
        <w:left w:val="none" w:sz="0" w:space="0" w:color="auto"/>
        <w:bottom w:val="none" w:sz="0" w:space="0" w:color="auto"/>
        <w:right w:val="none" w:sz="0" w:space="0" w:color="auto"/>
      </w:divBdr>
    </w:div>
    <w:div w:id="52119147">
      <w:bodyDiv w:val="1"/>
      <w:marLeft w:val="0"/>
      <w:marRight w:val="0"/>
      <w:marTop w:val="0"/>
      <w:marBottom w:val="0"/>
      <w:divBdr>
        <w:top w:val="none" w:sz="0" w:space="0" w:color="auto"/>
        <w:left w:val="none" w:sz="0" w:space="0" w:color="auto"/>
        <w:bottom w:val="none" w:sz="0" w:space="0" w:color="auto"/>
        <w:right w:val="none" w:sz="0" w:space="0" w:color="auto"/>
      </w:divBdr>
    </w:div>
    <w:div w:id="73355564">
      <w:bodyDiv w:val="1"/>
      <w:marLeft w:val="0"/>
      <w:marRight w:val="0"/>
      <w:marTop w:val="0"/>
      <w:marBottom w:val="0"/>
      <w:divBdr>
        <w:top w:val="none" w:sz="0" w:space="0" w:color="auto"/>
        <w:left w:val="none" w:sz="0" w:space="0" w:color="auto"/>
        <w:bottom w:val="none" w:sz="0" w:space="0" w:color="auto"/>
        <w:right w:val="none" w:sz="0" w:space="0" w:color="auto"/>
      </w:divBdr>
    </w:div>
    <w:div w:id="80101265">
      <w:bodyDiv w:val="1"/>
      <w:marLeft w:val="0"/>
      <w:marRight w:val="0"/>
      <w:marTop w:val="0"/>
      <w:marBottom w:val="0"/>
      <w:divBdr>
        <w:top w:val="none" w:sz="0" w:space="0" w:color="auto"/>
        <w:left w:val="none" w:sz="0" w:space="0" w:color="auto"/>
        <w:bottom w:val="none" w:sz="0" w:space="0" w:color="auto"/>
        <w:right w:val="none" w:sz="0" w:space="0" w:color="auto"/>
      </w:divBdr>
    </w:div>
    <w:div w:id="124741734">
      <w:bodyDiv w:val="1"/>
      <w:marLeft w:val="0"/>
      <w:marRight w:val="0"/>
      <w:marTop w:val="0"/>
      <w:marBottom w:val="0"/>
      <w:divBdr>
        <w:top w:val="none" w:sz="0" w:space="0" w:color="auto"/>
        <w:left w:val="none" w:sz="0" w:space="0" w:color="auto"/>
        <w:bottom w:val="none" w:sz="0" w:space="0" w:color="auto"/>
        <w:right w:val="none" w:sz="0" w:space="0" w:color="auto"/>
      </w:divBdr>
    </w:div>
    <w:div w:id="127939833">
      <w:bodyDiv w:val="1"/>
      <w:marLeft w:val="0"/>
      <w:marRight w:val="0"/>
      <w:marTop w:val="0"/>
      <w:marBottom w:val="0"/>
      <w:divBdr>
        <w:top w:val="none" w:sz="0" w:space="0" w:color="auto"/>
        <w:left w:val="none" w:sz="0" w:space="0" w:color="auto"/>
        <w:bottom w:val="none" w:sz="0" w:space="0" w:color="auto"/>
        <w:right w:val="none" w:sz="0" w:space="0" w:color="auto"/>
      </w:divBdr>
    </w:div>
    <w:div w:id="141973284">
      <w:bodyDiv w:val="1"/>
      <w:marLeft w:val="0"/>
      <w:marRight w:val="0"/>
      <w:marTop w:val="0"/>
      <w:marBottom w:val="0"/>
      <w:divBdr>
        <w:top w:val="none" w:sz="0" w:space="0" w:color="auto"/>
        <w:left w:val="none" w:sz="0" w:space="0" w:color="auto"/>
        <w:bottom w:val="none" w:sz="0" w:space="0" w:color="auto"/>
        <w:right w:val="none" w:sz="0" w:space="0" w:color="auto"/>
      </w:divBdr>
    </w:div>
    <w:div w:id="152727099">
      <w:bodyDiv w:val="1"/>
      <w:marLeft w:val="0"/>
      <w:marRight w:val="0"/>
      <w:marTop w:val="0"/>
      <w:marBottom w:val="0"/>
      <w:divBdr>
        <w:top w:val="none" w:sz="0" w:space="0" w:color="auto"/>
        <w:left w:val="none" w:sz="0" w:space="0" w:color="auto"/>
        <w:bottom w:val="none" w:sz="0" w:space="0" w:color="auto"/>
        <w:right w:val="none" w:sz="0" w:space="0" w:color="auto"/>
      </w:divBdr>
    </w:div>
    <w:div w:id="159933922">
      <w:bodyDiv w:val="1"/>
      <w:marLeft w:val="0"/>
      <w:marRight w:val="0"/>
      <w:marTop w:val="0"/>
      <w:marBottom w:val="0"/>
      <w:divBdr>
        <w:top w:val="none" w:sz="0" w:space="0" w:color="auto"/>
        <w:left w:val="none" w:sz="0" w:space="0" w:color="auto"/>
        <w:bottom w:val="none" w:sz="0" w:space="0" w:color="auto"/>
        <w:right w:val="none" w:sz="0" w:space="0" w:color="auto"/>
      </w:divBdr>
    </w:div>
    <w:div w:id="163250279">
      <w:bodyDiv w:val="1"/>
      <w:marLeft w:val="0"/>
      <w:marRight w:val="0"/>
      <w:marTop w:val="0"/>
      <w:marBottom w:val="0"/>
      <w:divBdr>
        <w:top w:val="none" w:sz="0" w:space="0" w:color="auto"/>
        <w:left w:val="none" w:sz="0" w:space="0" w:color="auto"/>
        <w:bottom w:val="none" w:sz="0" w:space="0" w:color="auto"/>
        <w:right w:val="none" w:sz="0" w:space="0" w:color="auto"/>
      </w:divBdr>
    </w:div>
    <w:div w:id="200897650">
      <w:bodyDiv w:val="1"/>
      <w:marLeft w:val="0"/>
      <w:marRight w:val="0"/>
      <w:marTop w:val="0"/>
      <w:marBottom w:val="0"/>
      <w:divBdr>
        <w:top w:val="none" w:sz="0" w:space="0" w:color="auto"/>
        <w:left w:val="none" w:sz="0" w:space="0" w:color="auto"/>
        <w:bottom w:val="none" w:sz="0" w:space="0" w:color="auto"/>
        <w:right w:val="none" w:sz="0" w:space="0" w:color="auto"/>
      </w:divBdr>
    </w:div>
    <w:div w:id="255283493">
      <w:bodyDiv w:val="1"/>
      <w:marLeft w:val="0"/>
      <w:marRight w:val="0"/>
      <w:marTop w:val="0"/>
      <w:marBottom w:val="0"/>
      <w:divBdr>
        <w:top w:val="none" w:sz="0" w:space="0" w:color="auto"/>
        <w:left w:val="none" w:sz="0" w:space="0" w:color="auto"/>
        <w:bottom w:val="none" w:sz="0" w:space="0" w:color="auto"/>
        <w:right w:val="none" w:sz="0" w:space="0" w:color="auto"/>
      </w:divBdr>
    </w:div>
    <w:div w:id="341707490">
      <w:bodyDiv w:val="1"/>
      <w:marLeft w:val="0"/>
      <w:marRight w:val="0"/>
      <w:marTop w:val="0"/>
      <w:marBottom w:val="0"/>
      <w:divBdr>
        <w:top w:val="none" w:sz="0" w:space="0" w:color="auto"/>
        <w:left w:val="none" w:sz="0" w:space="0" w:color="auto"/>
        <w:bottom w:val="none" w:sz="0" w:space="0" w:color="auto"/>
        <w:right w:val="none" w:sz="0" w:space="0" w:color="auto"/>
      </w:divBdr>
    </w:div>
    <w:div w:id="348802871">
      <w:bodyDiv w:val="1"/>
      <w:marLeft w:val="0"/>
      <w:marRight w:val="0"/>
      <w:marTop w:val="0"/>
      <w:marBottom w:val="0"/>
      <w:divBdr>
        <w:top w:val="none" w:sz="0" w:space="0" w:color="auto"/>
        <w:left w:val="none" w:sz="0" w:space="0" w:color="auto"/>
        <w:bottom w:val="none" w:sz="0" w:space="0" w:color="auto"/>
        <w:right w:val="none" w:sz="0" w:space="0" w:color="auto"/>
      </w:divBdr>
    </w:div>
    <w:div w:id="360135459">
      <w:bodyDiv w:val="1"/>
      <w:marLeft w:val="0"/>
      <w:marRight w:val="0"/>
      <w:marTop w:val="0"/>
      <w:marBottom w:val="0"/>
      <w:divBdr>
        <w:top w:val="none" w:sz="0" w:space="0" w:color="auto"/>
        <w:left w:val="none" w:sz="0" w:space="0" w:color="auto"/>
        <w:bottom w:val="none" w:sz="0" w:space="0" w:color="auto"/>
        <w:right w:val="none" w:sz="0" w:space="0" w:color="auto"/>
      </w:divBdr>
    </w:div>
    <w:div w:id="370230265">
      <w:bodyDiv w:val="1"/>
      <w:marLeft w:val="0"/>
      <w:marRight w:val="0"/>
      <w:marTop w:val="0"/>
      <w:marBottom w:val="0"/>
      <w:divBdr>
        <w:top w:val="none" w:sz="0" w:space="0" w:color="auto"/>
        <w:left w:val="none" w:sz="0" w:space="0" w:color="auto"/>
        <w:bottom w:val="none" w:sz="0" w:space="0" w:color="auto"/>
        <w:right w:val="none" w:sz="0" w:space="0" w:color="auto"/>
      </w:divBdr>
    </w:div>
    <w:div w:id="375661780">
      <w:bodyDiv w:val="1"/>
      <w:marLeft w:val="0"/>
      <w:marRight w:val="0"/>
      <w:marTop w:val="0"/>
      <w:marBottom w:val="0"/>
      <w:divBdr>
        <w:top w:val="none" w:sz="0" w:space="0" w:color="auto"/>
        <w:left w:val="none" w:sz="0" w:space="0" w:color="auto"/>
        <w:bottom w:val="none" w:sz="0" w:space="0" w:color="auto"/>
        <w:right w:val="none" w:sz="0" w:space="0" w:color="auto"/>
      </w:divBdr>
    </w:div>
    <w:div w:id="388116704">
      <w:bodyDiv w:val="1"/>
      <w:marLeft w:val="0"/>
      <w:marRight w:val="0"/>
      <w:marTop w:val="0"/>
      <w:marBottom w:val="0"/>
      <w:divBdr>
        <w:top w:val="none" w:sz="0" w:space="0" w:color="auto"/>
        <w:left w:val="none" w:sz="0" w:space="0" w:color="auto"/>
        <w:bottom w:val="none" w:sz="0" w:space="0" w:color="auto"/>
        <w:right w:val="none" w:sz="0" w:space="0" w:color="auto"/>
      </w:divBdr>
    </w:div>
    <w:div w:id="408117960">
      <w:bodyDiv w:val="1"/>
      <w:marLeft w:val="0"/>
      <w:marRight w:val="0"/>
      <w:marTop w:val="0"/>
      <w:marBottom w:val="0"/>
      <w:divBdr>
        <w:top w:val="none" w:sz="0" w:space="0" w:color="auto"/>
        <w:left w:val="none" w:sz="0" w:space="0" w:color="auto"/>
        <w:bottom w:val="none" w:sz="0" w:space="0" w:color="auto"/>
        <w:right w:val="none" w:sz="0" w:space="0" w:color="auto"/>
      </w:divBdr>
    </w:div>
    <w:div w:id="429010801">
      <w:bodyDiv w:val="1"/>
      <w:marLeft w:val="0"/>
      <w:marRight w:val="0"/>
      <w:marTop w:val="0"/>
      <w:marBottom w:val="0"/>
      <w:divBdr>
        <w:top w:val="none" w:sz="0" w:space="0" w:color="auto"/>
        <w:left w:val="none" w:sz="0" w:space="0" w:color="auto"/>
        <w:bottom w:val="none" w:sz="0" w:space="0" w:color="auto"/>
        <w:right w:val="none" w:sz="0" w:space="0" w:color="auto"/>
      </w:divBdr>
    </w:div>
    <w:div w:id="457795564">
      <w:bodyDiv w:val="1"/>
      <w:marLeft w:val="0"/>
      <w:marRight w:val="0"/>
      <w:marTop w:val="0"/>
      <w:marBottom w:val="0"/>
      <w:divBdr>
        <w:top w:val="none" w:sz="0" w:space="0" w:color="auto"/>
        <w:left w:val="none" w:sz="0" w:space="0" w:color="auto"/>
        <w:bottom w:val="none" w:sz="0" w:space="0" w:color="auto"/>
        <w:right w:val="none" w:sz="0" w:space="0" w:color="auto"/>
      </w:divBdr>
    </w:div>
    <w:div w:id="470562091">
      <w:bodyDiv w:val="1"/>
      <w:marLeft w:val="0"/>
      <w:marRight w:val="0"/>
      <w:marTop w:val="0"/>
      <w:marBottom w:val="0"/>
      <w:divBdr>
        <w:top w:val="none" w:sz="0" w:space="0" w:color="auto"/>
        <w:left w:val="none" w:sz="0" w:space="0" w:color="auto"/>
        <w:bottom w:val="none" w:sz="0" w:space="0" w:color="auto"/>
        <w:right w:val="none" w:sz="0" w:space="0" w:color="auto"/>
      </w:divBdr>
    </w:div>
    <w:div w:id="489752068">
      <w:bodyDiv w:val="1"/>
      <w:marLeft w:val="0"/>
      <w:marRight w:val="0"/>
      <w:marTop w:val="0"/>
      <w:marBottom w:val="0"/>
      <w:divBdr>
        <w:top w:val="none" w:sz="0" w:space="0" w:color="auto"/>
        <w:left w:val="none" w:sz="0" w:space="0" w:color="auto"/>
        <w:bottom w:val="none" w:sz="0" w:space="0" w:color="auto"/>
        <w:right w:val="none" w:sz="0" w:space="0" w:color="auto"/>
      </w:divBdr>
    </w:div>
    <w:div w:id="502211498">
      <w:bodyDiv w:val="1"/>
      <w:marLeft w:val="0"/>
      <w:marRight w:val="0"/>
      <w:marTop w:val="0"/>
      <w:marBottom w:val="0"/>
      <w:divBdr>
        <w:top w:val="none" w:sz="0" w:space="0" w:color="auto"/>
        <w:left w:val="none" w:sz="0" w:space="0" w:color="auto"/>
        <w:bottom w:val="none" w:sz="0" w:space="0" w:color="auto"/>
        <w:right w:val="none" w:sz="0" w:space="0" w:color="auto"/>
      </w:divBdr>
    </w:div>
    <w:div w:id="519469062">
      <w:bodyDiv w:val="1"/>
      <w:marLeft w:val="0"/>
      <w:marRight w:val="0"/>
      <w:marTop w:val="0"/>
      <w:marBottom w:val="0"/>
      <w:divBdr>
        <w:top w:val="none" w:sz="0" w:space="0" w:color="auto"/>
        <w:left w:val="none" w:sz="0" w:space="0" w:color="auto"/>
        <w:bottom w:val="none" w:sz="0" w:space="0" w:color="auto"/>
        <w:right w:val="none" w:sz="0" w:space="0" w:color="auto"/>
      </w:divBdr>
    </w:div>
    <w:div w:id="561406301">
      <w:bodyDiv w:val="1"/>
      <w:marLeft w:val="0"/>
      <w:marRight w:val="0"/>
      <w:marTop w:val="0"/>
      <w:marBottom w:val="0"/>
      <w:divBdr>
        <w:top w:val="none" w:sz="0" w:space="0" w:color="auto"/>
        <w:left w:val="none" w:sz="0" w:space="0" w:color="auto"/>
        <w:bottom w:val="none" w:sz="0" w:space="0" w:color="auto"/>
        <w:right w:val="none" w:sz="0" w:space="0" w:color="auto"/>
      </w:divBdr>
    </w:div>
    <w:div w:id="618922657">
      <w:bodyDiv w:val="1"/>
      <w:marLeft w:val="0"/>
      <w:marRight w:val="0"/>
      <w:marTop w:val="0"/>
      <w:marBottom w:val="0"/>
      <w:divBdr>
        <w:top w:val="none" w:sz="0" w:space="0" w:color="auto"/>
        <w:left w:val="none" w:sz="0" w:space="0" w:color="auto"/>
        <w:bottom w:val="none" w:sz="0" w:space="0" w:color="auto"/>
        <w:right w:val="none" w:sz="0" w:space="0" w:color="auto"/>
      </w:divBdr>
    </w:div>
    <w:div w:id="634917962">
      <w:bodyDiv w:val="1"/>
      <w:marLeft w:val="0"/>
      <w:marRight w:val="0"/>
      <w:marTop w:val="0"/>
      <w:marBottom w:val="0"/>
      <w:divBdr>
        <w:top w:val="none" w:sz="0" w:space="0" w:color="auto"/>
        <w:left w:val="none" w:sz="0" w:space="0" w:color="auto"/>
        <w:bottom w:val="none" w:sz="0" w:space="0" w:color="auto"/>
        <w:right w:val="none" w:sz="0" w:space="0" w:color="auto"/>
      </w:divBdr>
    </w:div>
    <w:div w:id="658853588">
      <w:bodyDiv w:val="1"/>
      <w:marLeft w:val="0"/>
      <w:marRight w:val="0"/>
      <w:marTop w:val="0"/>
      <w:marBottom w:val="0"/>
      <w:divBdr>
        <w:top w:val="none" w:sz="0" w:space="0" w:color="auto"/>
        <w:left w:val="none" w:sz="0" w:space="0" w:color="auto"/>
        <w:bottom w:val="none" w:sz="0" w:space="0" w:color="auto"/>
        <w:right w:val="none" w:sz="0" w:space="0" w:color="auto"/>
      </w:divBdr>
    </w:div>
    <w:div w:id="662704325">
      <w:bodyDiv w:val="1"/>
      <w:marLeft w:val="0"/>
      <w:marRight w:val="0"/>
      <w:marTop w:val="0"/>
      <w:marBottom w:val="0"/>
      <w:divBdr>
        <w:top w:val="none" w:sz="0" w:space="0" w:color="auto"/>
        <w:left w:val="none" w:sz="0" w:space="0" w:color="auto"/>
        <w:bottom w:val="none" w:sz="0" w:space="0" w:color="auto"/>
        <w:right w:val="none" w:sz="0" w:space="0" w:color="auto"/>
      </w:divBdr>
    </w:div>
    <w:div w:id="700131777">
      <w:bodyDiv w:val="1"/>
      <w:marLeft w:val="0"/>
      <w:marRight w:val="0"/>
      <w:marTop w:val="0"/>
      <w:marBottom w:val="0"/>
      <w:divBdr>
        <w:top w:val="none" w:sz="0" w:space="0" w:color="auto"/>
        <w:left w:val="none" w:sz="0" w:space="0" w:color="auto"/>
        <w:bottom w:val="none" w:sz="0" w:space="0" w:color="auto"/>
        <w:right w:val="none" w:sz="0" w:space="0" w:color="auto"/>
      </w:divBdr>
    </w:div>
    <w:div w:id="700252553">
      <w:bodyDiv w:val="1"/>
      <w:marLeft w:val="0"/>
      <w:marRight w:val="0"/>
      <w:marTop w:val="0"/>
      <w:marBottom w:val="0"/>
      <w:divBdr>
        <w:top w:val="none" w:sz="0" w:space="0" w:color="auto"/>
        <w:left w:val="none" w:sz="0" w:space="0" w:color="auto"/>
        <w:bottom w:val="none" w:sz="0" w:space="0" w:color="auto"/>
        <w:right w:val="none" w:sz="0" w:space="0" w:color="auto"/>
      </w:divBdr>
    </w:div>
    <w:div w:id="702173844">
      <w:bodyDiv w:val="1"/>
      <w:marLeft w:val="0"/>
      <w:marRight w:val="0"/>
      <w:marTop w:val="0"/>
      <w:marBottom w:val="0"/>
      <w:divBdr>
        <w:top w:val="none" w:sz="0" w:space="0" w:color="auto"/>
        <w:left w:val="none" w:sz="0" w:space="0" w:color="auto"/>
        <w:bottom w:val="none" w:sz="0" w:space="0" w:color="auto"/>
        <w:right w:val="none" w:sz="0" w:space="0" w:color="auto"/>
      </w:divBdr>
    </w:div>
    <w:div w:id="735473961">
      <w:bodyDiv w:val="1"/>
      <w:marLeft w:val="0"/>
      <w:marRight w:val="0"/>
      <w:marTop w:val="0"/>
      <w:marBottom w:val="0"/>
      <w:divBdr>
        <w:top w:val="none" w:sz="0" w:space="0" w:color="auto"/>
        <w:left w:val="none" w:sz="0" w:space="0" w:color="auto"/>
        <w:bottom w:val="none" w:sz="0" w:space="0" w:color="auto"/>
        <w:right w:val="none" w:sz="0" w:space="0" w:color="auto"/>
      </w:divBdr>
    </w:div>
    <w:div w:id="740950124">
      <w:bodyDiv w:val="1"/>
      <w:marLeft w:val="0"/>
      <w:marRight w:val="0"/>
      <w:marTop w:val="0"/>
      <w:marBottom w:val="0"/>
      <w:divBdr>
        <w:top w:val="none" w:sz="0" w:space="0" w:color="auto"/>
        <w:left w:val="none" w:sz="0" w:space="0" w:color="auto"/>
        <w:bottom w:val="none" w:sz="0" w:space="0" w:color="auto"/>
        <w:right w:val="none" w:sz="0" w:space="0" w:color="auto"/>
      </w:divBdr>
    </w:div>
    <w:div w:id="813303246">
      <w:bodyDiv w:val="1"/>
      <w:marLeft w:val="0"/>
      <w:marRight w:val="0"/>
      <w:marTop w:val="0"/>
      <w:marBottom w:val="0"/>
      <w:divBdr>
        <w:top w:val="none" w:sz="0" w:space="0" w:color="auto"/>
        <w:left w:val="none" w:sz="0" w:space="0" w:color="auto"/>
        <w:bottom w:val="none" w:sz="0" w:space="0" w:color="auto"/>
        <w:right w:val="none" w:sz="0" w:space="0" w:color="auto"/>
      </w:divBdr>
    </w:div>
    <w:div w:id="814953067">
      <w:bodyDiv w:val="1"/>
      <w:marLeft w:val="0"/>
      <w:marRight w:val="0"/>
      <w:marTop w:val="0"/>
      <w:marBottom w:val="0"/>
      <w:divBdr>
        <w:top w:val="none" w:sz="0" w:space="0" w:color="auto"/>
        <w:left w:val="none" w:sz="0" w:space="0" w:color="auto"/>
        <w:bottom w:val="none" w:sz="0" w:space="0" w:color="auto"/>
        <w:right w:val="none" w:sz="0" w:space="0" w:color="auto"/>
      </w:divBdr>
    </w:div>
    <w:div w:id="884869569">
      <w:bodyDiv w:val="1"/>
      <w:marLeft w:val="0"/>
      <w:marRight w:val="0"/>
      <w:marTop w:val="0"/>
      <w:marBottom w:val="0"/>
      <w:divBdr>
        <w:top w:val="none" w:sz="0" w:space="0" w:color="auto"/>
        <w:left w:val="none" w:sz="0" w:space="0" w:color="auto"/>
        <w:bottom w:val="none" w:sz="0" w:space="0" w:color="auto"/>
        <w:right w:val="none" w:sz="0" w:space="0" w:color="auto"/>
      </w:divBdr>
    </w:div>
    <w:div w:id="898327035">
      <w:bodyDiv w:val="1"/>
      <w:marLeft w:val="0"/>
      <w:marRight w:val="0"/>
      <w:marTop w:val="0"/>
      <w:marBottom w:val="0"/>
      <w:divBdr>
        <w:top w:val="none" w:sz="0" w:space="0" w:color="auto"/>
        <w:left w:val="none" w:sz="0" w:space="0" w:color="auto"/>
        <w:bottom w:val="none" w:sz="0" w:space="0" w:color="auto"/>
        <w:right w:val="none" w:sz="0" w:space="0" w:color="auto"/>
      </w:divBdr>
      <w:divsChild>
        <w:div w:id="961574716">
          <w:marLeft w:val="547"/>
          <w:marRight w:val="0"/>
          <w:marTop w:val="106"/>
          <w:marBottom w:val="0"/>
          <w:divBdr>
            <w:top w:val="none" w:sz="0" w:space="0" w:color="auto"/>
            <w:left w:val="none" w:sz="0" w:space="0" w:color="auto"/>
            <w:bottom w:val="none" w:sz="0" w:space="0" w:color="auto"/>
            <w:right w:val="none" w:sz="0" w:space="0" w:color="auto"/>
          </w:divBdr>
        </w:div>
        <w:div w:id="1741055652">
          <w:marLeft w:val="547"/>
          <w:marRight w:val="0"/>
          <w:marTop w:val="106"/>
          <w:marBottom w:val="0"/>
          <w:divBdr>
            <w:top w:val="none" w:sz="0" w:space="0" w:color="auto"/>
            <w:left w:val="none" w:sz="0" w:space="0" w:color="auto"/>
            <w:bottom w:val="none" w:sz="0" w:space="0" w:color="auto"/>
            <w:right w:val="none" w:sz="0" w:space="0" w:color="auto"/>
          </w:divBdr>
        </w:div>
        <w:div w:id="2082755175">
          <w:marLeft w:val="547"/>
          <w:marRight w:val="0"/>
          <w:marTop w:val="106"/>
          <w:marBottom w:val="0"/>
          <w:divBdr>
            <w:top w:val="none" w:sz="0" w:space="0" w:color="auto"/>
            <w:left w:val="none" w:sz="0" w:space="0" w:color="auto"/>
            <w:bottom w:val="none" w:sz="0" w:space="0" w:color="auto"/>
            <w:right w:val="none" w:sz="0" w:space="0" w:color="auto"/>
          </w:divBdr>
        </w:div>
      </w:divsChild>
    </w:div>
    <w:div w:id="909510130">
      <w:bodyDiv w:val="1"/>
      <w:marLeft w:val="0"/>
      <w:marRight w:val="0"/>
      <w:marTop w:val="0"/>
      <w:marBottom w:val="0"/>
      <w:divBdr>
        <w:top w:val="none" w:sz="0" w:space="0" w:color="auto"/>
        <w:left w:val="none" w:sz="0" w:space="0" w:color="auto"/>
        <w:bottom w:val="none" w:sz="0" w:space="0" w:color="auto"/>
        <w:right w:val="none" w:sz="0" w:space="0" w:color="auto"/>
      </w:divBdr>
    </w:div>
    <w:div w:id="928928504">
      <w:bodyDiv w:val="1"/>
      <w:marLeft w:val="0"/>
      <w:marRight w:val="0"/>
      <w:marTop w:val="0"/>
      <w:marBottom w:val="0"/>
      <w:divBdr>
        <w:top w:val="none" w:sz="0" w:space="0" w:color="auto"/>
        <w:left w:val="none" w:sz="0" w:space="0" w:color="auto"/>
        <w:bottom w:val="none" w:sz="0" w:space="0" w:color="auto"/>
        <w:right w:val="none" w:sz="0" w:space="0" w:color="auto"/>
      </w:divBdr>
    </w:div>
    <w:div w:id="942300578">
      <w:bodyDiv w:val="1"/>
      <w:marLeft w:val="0"/>
      <w:marRight w:val="0"/>
      <w:marTop w:val="0"/>
      <w:marBottom w:val="0"/>
      <w:divBdr>
        <w:top w:val="none" w:sz="0" w:space="0" w:color="auto"/>
        <w:left w:val="none" w:sz="0" w:space="0" w:color="auto"/>
        <w:bottom w:val="none" w:sz="0" w:space="0" w:color="auto"/>
        <w:right w:val="none" w:sz="0" w:space="0" w:color="auto"/>
      </w:divBdr>
    </w:div>
    <w:div w:id="1029261036">
      <w:bodyDiv w:val="1"/>
      <w:marLeft w:val="0"/>
      <w:marRight w:val="0"/>
      <w:marTop w:val="0"/>
      <w:marBottom w:val="0"/>
      <w:divBdr>
        <w:top w:val="none" w:sz="0" w:space="0" w:color="auto"/>
        <w:left w:val="none" w:sz="0" w:space="0" w:color="auto"/>
        <w:bottom w:val="none" w:sz="0" w:space="0" w:color="auto"/>
        <w:right w:val="none" w:sz="0" w:space="0" w:color="auto"/>
      </w:divBdr>
    </w:div>
    <w:div w:id="1041439510">
      <w:bodyDiv w:val="1"/>
      <w:marLeft w:val="0"/>
      <w:marRight w:val="0"/>
      <w:marTop w:val="0"/>
      <w:marBottom w:val="0"/>
      <w:divBdr>
        <w:top w:val="none" w:sz="0" w:space="0" w:color="auto"/>
        <w:left w:val="none" w:sz="0" w:space="0" w:color="auto"/>
        <w:bottom w:val="none" w:sz="0" w:space="0" w:color="auto"/>
        <w:right w:val="none" w:sz="0" w:space="0" w:color="auto"/>
      </w:divBdr>
    </w:div>
    <w:div w:id="1082335888">
      <w:bodyDiv w:val="1"/>
      <w:marLeft w:val="0"/>
      <w:marRight w:val="0"/>
      <w:marTop w:val="0"/>
      <w:marBottom w:val="0"/>
      <w:divBdr>
        <w:top w:val="none" w:sz="0" w:space="0" w:color="auto"/>
        <w:left w:val="none" w:sz="0" w:space="0" w:color="auto"/>
        <w:bottom w:val="none" w:sz="0" w:space="0" w:color="auto"/>
        <w:right w:val="none" w:sz="0" w:space="0" w:color="auto"/>
      </w:divBdr>
    </w:div>
    <w:div w:id="1139567446">
      <w:bodyDiv w:val="1"/>
      <w:marLeft w:val="0"/>
      <w:marRight w:val="0"/>
      <w:marTop w:val="0"/>
      <w:marBottom w:val="0"/>
      <w:divBdr>
        <w:top w:val="none" w:sz="0" w:space="0" w:color="auto"/>
        <w:left w:val="none" w:sz="0" w:space="0" w:color="auto"/>
        <w:bottom w:val="none" w:sz="0" w:space="0" w:color="auto"/>
        <w:right w:val="none" w:sz="0" w:space="0" w:color="auto"/>
      </w:divBdr>
    </w:div>
    <w:div w:id="1148978018">
      <w:bodyDiv w:val="1"/>
      <w:marLeft w:val="0"/>
      <w:marRight w:val="0"/>
      <w:marTop w:val="0"/>
      <w:marBottom w:val="0"/>
      <w:divBdr>
        <w:top w:val="none" w:sz="0" w:space="0" w:color="auto"/>
        <w:left w:val="none" w:sz="0" w:space="0" w:color="auto"/>
        <w:bottom w:val="none" w:sz="0" w:space="0" w:color="auto"/>
        <w:right w:val="none" w:sz="0" w:space="0" w:color="auto"/>
      </w:divBdr>
    </w:div>
    <w:div w:id="1160124419">
      <w:bodyDiv w:val="1"/>
      <w:marLeft w:val="0"/>
      <w:marRight w:val="0"/>
      <w:marTop w:val="0"/>
      <w:marBottom w:val="0"/>
      <w:divBdr>
        <w:top w:val="none" w:sz="0" w:space="0" w:color="auto"/>
        <w:left w:val="none" w:sz="0" w:space="0" w:color="auto"/>
        <w:bottom w:val="none" w:sz="0" w:space="0" w:color="auto"/>
        <w:right w:val="none" w:sz="0" w:space="0" w:color="auto"/>
      </w:divBdr>
    </w:div>
    <w:div w:id="1189683681">
      <w:bodyDiv w:val="1"/>
      <w:marLeft w:val="0"/>
      <w:marRight w:val="0"/>
      <w:marTop w:val="0"/>
      <w:marBottom w:val="0"/>
      <w:divBdr>
        <w:top w:val="none" w:sz="0" w:space="0" w:color="auto"/>
        <w:left w:val="none" w:sz="0" w:space="0" w:color="auto"/>
        <w:bottom w:val="none" w:sz="0" w:space="0" w:color="auto"/>
        <w:right w:val="none" w:sz="0" w:space="0" w:color="auto"/>
      </w:divBdr>
    </w:div>
    <w:div w:id="1215460687">
      <w:bodyDiv w:val="1"/>
      <w:marLeft w:val="0"/>
      <w:marRight w:val="0"/>
      <w:marTop w:val="0"/>
      <w:marBottom w:val="0"/>
      <w:divBdr>
        <w:top w:val="none" w:sz="0" w:space="0" w:color="auto"/>
        <w:left w:val="none" w:sz="0" w:space="0" w:color="auto"/>
        <w:bottom w:val="none" w:sz="0" w:space="0" w:color="auto"/>
        <w:right w:val="none" w:sz="0" w:space="0" w:color="auto"/>
      </w:divBdr>
    </w:div>
    <w:div w:id="1306080191">
      <w:bodyDiv w:val="1"/>
      <w:marLeft w:val="0"/>
      <w:marRight w:val="0"/>
      <w:marTop w:val="0"/>
      <w:marBottom w:val="0"/>
      <w:divBdr>
        <w:top w:val="none" w:sz="0" w:space="0" w:color="auto"/>
        <w:left w:val="none" w:sz="0" w:space="0" w:color="auto"/>
        <w:bottom w:val="none" w:sz="0" w:space="0" w:color="auto"/>
        <w:right w:val="none" w:sz="0" w:space="0" w:color="auto"/>
      </w:divBdr>
    </w:div>
    <w:div w:id="1310207492">
      <w:bodyDiv w:val="1"/>
      <w:marLeft w:val="0"/>
      <w:marRight w:val="0"/>
      <w:marTop w:val="0"/>
      <w:marBottom w:val="0"/>
      <w:divBdr>
        <w:top w:val="none" w:sz="0" w:space="0" w:color="auto"/>
        <w:left w:val="none" w:sz="0" w:space="0" w:color="auto"/>
        <w:bottom w:val="none" w:sz="0" w:space="0" w:color="auto"/>
        <w:right w:val="none" w:sz="0" w:space="0" w:color="auto"/>
      </w:divBdr>
    </w:div>
    <w:div w:id="1336029441">
      <w:bodyDiv w:val="1"/>
      <w:marLeft w:val="0"/>
      <w:marRight w:val="0"/>
      <w:marTop w:val="0"/>
      <w:marBottom w:val="0"/>
      <w:divBdr>
        <w:top w:val="none" w:sz="0" w:space="0" w:color="auto"/>
        <w:left w:val="none" w:sz="0" w:space="0" w:color="auto"/>
        <w:bottom w:val="none" w:sz="0" w:space="0" w:color="auto"/>
        <w:right w:val="none" w:sz="0" w:space="0" w:color="auto"/>
      </w:divBdr>
    </w:div>
    <w:div w:id="1340541457">
      <w:bodyDiv w:val="1"/>
      <w:marLeft w:val="0"/>
      <w:marRight w:val="0"/>
      <w:marTop w:val="0"/>
      <w:marBottom w:val="0"/>
      <w:divBdr>
        <w:top w:val="none" w:sz="0" w:space="0" w:color="auto"/>
        <w:left w:val="none" w:sz="0" w:space="0" w:color="auto"/>
        <w:bottom w:val="none" w:sz="0" w:space="0" w:color="auto"/>
        <w:right w:val="none" w:sz="0" w:space="0" w:color="auto"/>
      </w:divBdr>
    </w:div>
    <w:div w:id="1386681950">
      <w:bodyDiv w:val="1"/>
      <w:marLeft w:val="0"/>
      <w:marRight w:val="0"/>
      <w:marTop w:val="0"/>
      <w:marBottom w:val="0"/>
      <w:divBdr>
        <w:top w:val="none" w:sz="0" w:space="0" w:color="auto"/>
        <w:left w:val="none" w:sz="0" w:space="0" w:color="auto"/>
        <w:bottom w:val="none" w:sz="0" w:space="0" w:color="auto"/>
        <w:right w:val="none" w:sz="0" w:space="0" w:color="auto"/>
      </w:divBdr>
    </w:div>
    <w:div w:id="1434012482">
      <w:bodyDiv w:val="1"/>
      <w:marLeft w:val="0"/>
      <w:marRight w:val="0"/>
      <w:marTop w:val="0"/>
      <w:marBottom w:val="0"/>
      <w:divBdr>
        <w:top w:val="none" w:sz="0" w:space="0" w:color="auto"/>
        <w:left w:val="none" w:sz="0" w:space="0" w:color="auto"/>
        <w:bottom w:val="none" w:sz="0" w:space="0" w:color="auto"/>
        <w:right w:val="none" w:sz="0" w:space="0" w:color="auto"/>
      </w:divBdr>
      <w:divsChild>
        <w:div w:id="1628509918">
          <w:marLeft w:val="0"/>
          <w:marRight w:val="0"/>
          <w:marTop w:val="0"/>
          <w:marBottom w:val="0"/>
          <w:divBdr>
            <w:top w:val="none" w:sz="0" w:space="0" w:color="auto"/>
            <w:left w:val="none" w:sz="0" w:space="0" w:color="auto"/>
            <w:bottom w:val="none" w:sz="0" w:space="0" w:color="auto"/>
            <w:right w:val="none" w:sz="0" w:space="0" w:color="auto"/>
          </w:divBdr>
          <w:divsChild>
            <w:div w:id="2087023360">
              <w:marLeft w:val="-225"/>
              <w:marRight w:val="-225"/>
              <w:marTop w:val="0"/>
              <w:marBottom w:val="0"/>
              <w:divBdr>
                <w:top w:val="none" w:sz="0" w:space="0" w:color="auto"/>
                <w:left w:val="none" w:sz="0" w:space="0" w:color="auto"/>
                <w:bottom w:val="none" w:sz="0" w:space="0" w:color="auto"/>
                <w:right w:val="none" w:sz="0" w:space="0" w:color="auto"/>
              </w:divBdr>
              <w:divsChild>
                <w:div w:id="2019236726">
                  <w:marLeft w:val="0"/>
                  <w:marRight w:val="0"/>
                  <w:marTop w:val="0"/>
                  <w:marBottom w:val="0"/>
                  <w:divBdr>
                    <w:top w:val="none" w:sz="0" w:space="0" w:color="auto"/>
                    <w:left w:val="none" w:sz="0" w:space="0" w:color="auto"/>
                    <w:bottom w:val="none" w:sz="0" w:space="0" w:color="auto"/>
                    <w:right w:val="none" w:sz="0" w:space="0" w:color="auto"/>
                  </w:divBdr>
                  <w:divsChild>
                    <w:div w:id="1454210186">
                      <w:marLeft w:val="-225"/>
                      <w:marRight w:val="-225"/>
                      <w:marTop w:val="0"/>
                      <w:marBottom w:val="0"/>
                      <w:divBdr>
                        <w:top w:val="none" w:sz="0" w:space="0" w:color="auto"/>
                        <w:left w:val="none" w:sz="0" w:space="0" w:color="auto"/>
                        <w:bottom w:val="none" w:sz="0" w:space="0" w:color="auto"/>
                        <w:right w:val="none" w:sz="0" w:space="0" w:color="auto"/>
                      </w:divBdr>
                      <w:divsChild>
                        <w:div w:id="780880450">
                          <w:marLeft w:val="0"/>
                          <w:marRight w:val="0"/>
                          <w:marTop w:val="0"/>
                          <w:marBottom w:val="0"/>
                          <w:divBdr>
                            <w:top w:val="none" w:sz="0" w:space="0" w:color="auto"/>
                            <w:left w:val="none" w:sz="0" w:space="0" w:color="auto"/>
                            <w:bottom w:val="none" w:sz="0" w:space="0" w:color="auto"/>
                            <w:right w:val="none" w:sz="0" w:space="0" w:color="auto"/>
                          </w:divBdr>
                          <w:divsChild>
                            <w:div w:id="874662538">
                              <w:marLeft w:val="0"/>
                              <w:marRight w:val="0"/>
                              <w:marTop w:val="0"/>
                              <w:marBottom w:val="0"/>
                              <w:divBdr>
                                <w:top w:val="none" w:sz="0" w:space="0" w:color="auto"/>
                                <w:left w:val="none" w:sz="0" w:space="0" w:color="auto"/>
                                <w:bottom w:val="none" w:sz="0" w:space="0" w:color="auto"/>
                                <w:right w:val="none" w:sz="0" w:space="0" w:color="auto"/>
                              </w:divBdr>
                              <w:divsChild>
                                <w:div w:id="67923103">
                                  <w:marLeft w:val="0"/>
                                  <w:marRight w:val="0"/>
                                  <w:marTop w:val="0"/>
                                  <w:marBottom w:val="0"/>
                                  <w:divBdr>
                                    <w:top w:val="none" w:sz="0" w:space="0" w:color="auto"/>
                                    <w:left w:val="none" w:sz="0" w:space="0" w:color="auto"/>
                                    <w:bottom w:val="none" w:sz="0" w:space="0" w:color="auto"/>
                                    <w:right w:val="none" w:sz="0" w:space="0" w:color="auto"/>
                                  </w:divBdr>
                                  <w:divsChild>
                                    <w:div w:id="153305439">
                                      <w:marLeft w:val="0"/>
                                      <w:marRight w:val="0"/>
                                      <w:marTop w:val="0"/>
                                      <w:marBottom w:val="240"/>
                                      <w:divBdr>
                                        <w:top w:val="single" w:sz="24" w:space="12" w:color="C2B5A0"/>
                                        <w:left w:val="single" w:sz="24" w:space="12" w:color="C2B5A0"/>
                                        <w:bottom w:val="single" w:sz="24" w:space="12" w:color="C2B5A0"/>
                                        <w:right w:val="single" w:sz="24" w:space="12" w:color="C2B5A0"/>
                                      </w:divBdr>
                                    </w:div>
                                  </w:divsChild>
                                </w:div>
                              </w:divsChild>
                            </w:div>
                          </w:divsChild>
                        </w:div>
                      </w:divsChild>
                    </w:div>
                  </w:divsChild>
                </w:div>
              </w:divsChild>
            </w:div>
          </w:divsChild>
        </w:div>
      </w:divsChild>
    </w:div>
    <w:div w:id="1457410223">
      <w:bodyDiv w:val="1"/>
      <w:marLeft w:val="0"/>
      <w:marRight w:val="0"/>
      <w:marTop w:val="0"/>
      <w:marBottom w:val="0"/>
      <w:divBdr>
        <w:top w:val="none" w:sz="0" w:space="0" w:color="auto"/>
        <w:left w:val="none" w:sz="0" w:space="0" w:color="auto"/>
        <w:bottom w:val="none" w:sz="0" w:space="0" w:color="auto"/>
        <w:right w:val="none" w:sz="0" w:space="0" w:color="auto"/>
      </w:divBdr>
    </w:div>
    <w:div w:id="1494754629">
      <w:bodyDiv w:val="1"/>
      <w:marLeft w:val="0"/>
      <w:marRight w:val="0"/>
      <w:marTop w:val="0"/>
      <w:marBottom w:val="0"/>
      <w:divBdr>
        <w:top w:val="none" w:sz="0" w:space="0" w:color="auto"/>
        <w:left w:val="none" w:sz="0" w:space="0" w:color="auto"/>
        <w:bottom w:val="none" w:sz="0" w:space="0" w:color="auto"/>
        <w:right w:val="none" w:sz="0" w:space="0" w:color="auto"/>
      </w:divBdr>
    </w:div>
    <w:div w:id="1511334748">
      <w:bodyDiv w:val="1"/>
      <w:marLeft w:val="0"/>
      <w:marRight w:val="0"/>
      <w:marTop w:val="0"/>
      <w:marBottom w:val="0"/>
      <w:divBdr>
        <w:top w:val="none" w:sz="0" w:space="0" w:color="auto"/>
        <w:left w:val="none" w:sz="0" w:space="0" w:color="auto"/>
        <w:bottom w:val="none" w:sz="0" w:space="0" w:color="auto"/>
        <w:right w:val="none" w:sz="0" w:space="0" w:color="auto"/>
      </w:divBdr>
    </w:div>
    <w:div w:id="1531528333">
      <w:bodyDiv w:val="1"/>
      <w:marLeft w:val="0"/>
      <w:marRight w:val="0"/>
      <w:marTop w:val="0"/>
      <w:marBottom w:val="0"/>
      <w:divBdr>
        <w:top w:val="none" w:sz="0" w:space="0" w:color="auto"/>
        <w:left w:val="none" w:sz="0" w:space="0" w:color="auto"/>
        <w:bottom w:val="none" w:sz="0" w:space="0" w:color="auto"/>
        <w:right w:val="none" w:sz="0" w:space="0" w:color="auto"/>
      </w:divBdr>
      <w:divsChild>
        <w:div w:id="1054278185">
          <w:marLeft w:val="547"/>
          <w:marRight w:val="0"/>
          <w:marTop w:val="91"/>
          <w:marBottom w:val="0"/>
          <w:divBdr>
            <w:top w:val="none" w:sz="0" w:space="0" w:color="auto"/>
            <w:left w:val="none" w:sz="0" w:space="0" w:color="auto"/>
            <w:bottom w:val="none" w:sz="0" w:space="0" w:color="auto"/>
            <w:right w:val="none" w:sz="0" w:space="0" w:color="auto"/>
          </w:divBdr>
        </w:div>
        <w:div w:id="1777823346">
          <w:marLeft w:val="547"/>
          <w:marRight w:val="0"/>
          <w:marTop w:val="91"/>
          <w:marBottom w:val="0"/>
          <w:divBdr>
            <w:top w:val="none" w:sz="0" w:space="0" w:color="auto"/>
            <w:left w:val="none" w:sz="0" w:space="0" w:color="auto"/>
            <w:bottom w:val="none" w:sz="0" w:space="0" w:color="auto"/>
            <w:right w:val="none" w:sz="0" w:space="0" w:color="auto"/>
          </w:divBdr>
        </w:div>
      </w:divsChild>
    </w:div>
    <w:div w:id="1532763436">
      <w:bodyDiv w:val="1"/>
      <w:marLeft w:val="0"/>
      <w:marRight w:val="0"/>
      <w:marTop w:val="0"/>
      <w:marBottom w:val="0"/>
      <w:divBdr>
        <w:top w:val="none" w:sz="0" w:space="0" w:color="auto"/>
        <w:left w:val="none" w:sz="0" w:space="0" w:color="auto"/>
        <w:bottom w:val="none" w:sz="0" w:space="0" w:color="auto"/>
        <w:right w:val="none" w:sz="0" w:space="0" w:color="auto"/>
      </w:divBdr>
    </w:div>
    <w:div w:id="1533420845">
      <w:bodyDiv w:val="1"/>
      <w:marLeft w:val="0"/>
      <w:marRight w:val="0"/>
      <w:marTop w:val="0"/>
      <w:marBottom w:val="0"/>
      <w:divBdr>
        <w:top w:val="none" w:sz="0" w:space="0" w:color="auto"/>
        <w:left w:val="none" w:sz="0" w:space="0" w:color="auto"/>
        <w:bottom w:val="none" w:sz="0" w:space="0" w:color="auto"/>
        <w:right w:val="none" w:sz="0" w:space="0" w:color="auto"/>
      </w:divBdr>
    </w:div>
    <w:div w:id="1537160665">
      <w:bodyDiv w:val="1"/>
      <w:marLeft w:val="0"/>
      <w:marRight w:val="0"/>
      <w:marTop w:val="0"/>
      <w:marBottom w:val="0"/>
      <w:divBdr>
        <w:top w:val="none" w:sz="0" w:space="0" w:color="auto"/>
        <w:left w:val="none" w:sz="0" w:space="0" w:color="auto"/>
        <w:bottom w:val="none" w:sz="0" w:space="0" w:color="auto"/>
        <w:right w:val="none" w:sz="0" w:space="0" w:color="auto"/>
      </w:divBdr>
    </w:div>
    <w:div w:id="1552379318">
      <w:bodyDiv w:val="1"/>
      <w:marLeft w:val="0"/>
      <w:marRight w:val="0"/>
      <w:marTop w:val="0"/>
      <w:marBottom w:val="0"/>
      <w:divBdr>
        <w:top w:val="none" w:sz="0" w:space="0" w:color="auto"/>
        <w:left w:val="none" w:sz="0" w:space="0" w:color="auto"/>
        <w:bottom w:val="none" w:sz="0" w:space="0" w:color="auto"/>
        <w:right w:val="none" w:sz="0" w:space="0" w:color="auto"/>
      </w:divBdr>
    </w:div>
    <w:div w:id="1563439588">
      <w:bodyDiv w:val="1"/>
      <w:marLeft w:val="0"/>
      <w:marRight w:val="0"/>
      <w:marTop w:val="0"/>
      <w:marBottom w:val="0"/>
      <w:divBdr>
        <w:top w:val="none" w:sz="0" w:space="0" w:color="auto"/>
        <w:left w:val="none" w:sz="0" w:space="0" w:color="auto"/>
        <w:bottom w:val="none" w:sz="0" w:space="0" w:color="auto"/>
        <w:right w:val="none" w:sz="0" w:space="0" w:color="auto"/>
      </w:divBdr>
    </w:div>
    <w:div w:id="1581674334">
      <w:bodyDiv w:val="1"/>
      <w:marLeft w:val="0"/>
      <w:marRight w:val="0"/>
      <w:marTop w:val="0"/>
      <w:marBottom w:val="0"/>
      <w:divBdr>
        <w:top w:val="none" w:sz="0" w:space="0" w:color="auto"/>
        <w:left w:val="none" w:sz="0" w:space="0" w:color="auto"/>
        <w:bottom w:val="none" w:sz="0" w:space="0" w:color="auto"/>
        <w:right w:val="none" w:sz="0" w:space="0" w:color="auto"/>
      </w:divBdr>
      <w:divsChild>
        <w:div w:id="1210993814">
          <w:marLeft w:val="547"/>
          <w:marRight w:val="0"/>
          <w:marTop w:val="91"/>
          <w:marBottom w:val="0"/>
          <w:divBdr>
            <w:top w:val="none" w:sz="0" w:space="0" w:color="auto"/>
            <w:left w:val="none" w:sz="0" w:space="0" w:color="auto"/>
            <w:bottom w:val="none" w:sz="0" w:space="0" w:color="auto"/>
            <w:right w:val="none" w:sz="0" w:space="0" w:color="auto"/>
          </w:divBdr>
        </w:div>
        <w:div w:id="1259826096">
          <w:marLeft w:val="547"/>
          <w:marRight w:val="0"/>
          <w:marTop w:val="91"/>
          <w:marBottom w:val="0"/>
          <w:divBdr>
            <w:top w:val="none" w:sz="0" w:space="0" w:color="auto"/>
            <w:left w:val="none" w:sz="0" w:space="0" w:color="auto"/>
            <w:bottom w:val="none" w:sz="0" w:space="0" w:color="auto"/>
            <w:right w:val="none" w:sz="0" w:space="0" w:color="auto"/>
          </w:divBdr>
        </w:div>
      </w:divsChild>
    </w:div>
    <w:div w:id="1602833503">
      <w:bodyDiv w:val="1"/>
      <w:marLeft w:val="0"/>
      <w:marRight w:val="0"/>
      <w:marTop w:val="0"/>
      <w:marBottom w:val="0"/>
      <w:divBdr>
        <w:top w:val="none" w:sz="0" w:space="0" w:color="auto"/>
        <w:left w:val="none" w:sz="0" w:space="0" w:color="auto"/>
        <w:bottom w:val="none" w:sz="0" w:space="0" w:color="auto"/>
        <w:right w:val="none" w:sz="0" w:space="0" w:color="auto"/>
      </w:divBdr>
    </w:div>
    <w:div w:id="1690838334">
      <w:bodyDiv w:val="1"/>
      <w:marLeft w:val="0"/>
      <w:marRight w:val="0"/>
      <w:marTop w:val="0"/>
      <w:marBottom w:val="0"/>
      <w:divBdr>
        <w:top w:val="none" w:sz="0" w:space="0" w:color="auto"/>
        <w:left w:val="none" w:sz="0" w:space="0" w:color="auto"/>
        <w:bottom w:val="none" w:sz="0" w:space="0" w:color="auto"/>
        <w:right w:val="none" w:sz="0" w:space="0" w:color="auto"/>
      </w:divBdr>
    </w:div>
    <w:div w:id="1746220660">
      <w:bodyDiv w:val="1"/>
      <w:marLeft w:val="0"/>
      <w:marRight w:val="0"/>
      <w:marTop w:val="0"/>
      <w:marBottom w:val="0"/>
      <w:divBdr>
        <w:top w:val="none" w:sz="0" w:space="0" w:color="auto"/>
        <w:left w:val="none" w:sz="0" w:space="0" w:color="auto"/>
        <w:bottom w:val="none" w:sz="0" w:space="0" w:color="auto"/>
        <w:right w:val="none" w:sz="0" w:space="0" w:color="auto"/>
      </w:divBdr>
    </w:div>
    <w:div w:id="1766921964">
      <w:bodyDiv w:val="1"/>
      <w:marLeft w:val="0"/>
      <w:marRight w:val="0"/>
      <w:marTop w:val="0"/>
      <w:marBottom w:val="0"/>
      <w:divBdr>
        <w:top w:val="none" w:sz="0" w:space="0" w:color="auto"/>
        <w:left w:val="none" w:sz="0" w:space="0" w:color="auto"/>
        <w:bottom w:val="none" w:sz="0" w:space="0" w:color="auto"/>
        <w:right w:val="none" w:sz="0" w:space="0" w:color="auto"/>
      </w:divBdr>
    </w:div>
    <w:div w:id="1847360580">
      <w:bodyDiv w:val="1"/>
      <w:marLeft w:val="0"/>
      <w:marRight w:val="0"/>
      <w:marTop w:val="0"/>
      <w:marBottom w:val="0"/>
      <w:divBdr>
        <w:top w:val="none" w:sz="0" w:space="0" w:color="auto"/>
        <w:left w:val="none" w:sz="0" w:space="0" w:color="auto"/>
        <w:bottom w:val="none" w:sz="0" w:space="0" w:color="auto"/>
        <w:right w:val="none" w:sz="0" w:space="0" w:color="auto"/>
      </w:divBdr>
    </w:div>
    <w:div w:id="1879004472">
      <w:bodyDiv w:val="1"/>
      <w:marLeft w:val="0"/>
      <w:marRight w:val="0"/>
      <w:marTop w:val="0"/>
      <w:marBottom w:val="0"/>
      <w:divBdr>
        <w:top w:val="none" w:sz="0" w:space="0" w:color="auto"/>
        <w:left w:val="none" w:sz="0" w:space="0" w:color="auto"/>
        <w:bottom w:val="none" w:sz="0" w:space="0" w:color="auto"/>
        <w:right w:val="none" w:sz="0" w:space="0" w:color="auto"/>
      </w:divBdr>
    </w:div>
    <w:div w:id="1953899525">
      <w:bodyDiv w:val="1"/>
      <w:marLeft w:val="0"/>
      <w:marRight w:val="0"/>
      <w:marTop w:val="0"/>
      <w:marBottom w:val="0"/>
      <w:divBdr>
        <w:top w:val="none" w:sz="0" w:space="0" w:color="auto"/>
        <w:left w:val="none" w:sz="0" w:space="0" w:color="auto"/>
        <w:bottom w:val="none" w:sz="0" w:space="0" w:color="auto"/>
        <w:right w:val="none" w:sz="0" w:space="0" w:color="auto"/>
      </w:divBdr>
    </w:div>
    <w:div w:id="2013532137">
      <w:bodyDiv w:val="1"/>
      <w:marLeft w:val="0"/>
      <w:marRight w:val="0"/>
      <w:marTop w:val="0"/>
      <w:marBottom w:val="0"/>
      <w:divBdr>
        <w:top w:val="none" w:sz="0" w:space="0" w:color="auto"/>
        <w:left w:val="none" w:sz="0" w:space="0" w:color="auto"/>
        <w:bottom w:val="none" w:sz="0" w:space="0" w:color="auto"/>
        <w:right w:val="none" w:sz="0" w:space="0" w:color="auto"/>
      </w:divBdr>
    </w:div>
    <w:div w:id="2049335576">
      <w:bodyDiv w:val="1"/>
      <w:marLeft w:val="0"/>
      <w:marRight w:val="0"/>
      <w:marTop w:val="0"/>
      <w:marBottom w:val="0"/>
      <w:divBdr>
        <w:top w:val="none" w:sz="0" w:space="0" w:color="auto"/>
        <w:left w:val="none" w:sz="0" w:space="0" w:color="auto"/>
        <w:bottom w:val="none" w:sz="0" w:space="0" w:color="auto"/>
        <w:right w:val="none" w:sz="0" w:space="0" w:color="auto"/>
      </w:divBdr>
    </w:div>
    <w:div w:id="2059668598">
      <w:bodyDiv w:val="1"/>
      <w:marLeft w:val="0"/>
      <w:marRight w:val="0"/>
      <w:marTop w:val="0"/>
      <w:marBottom w:val="0"/>
      <w:divBdr>
        <w:top w:val="none" w:sz="0" w:space="0" w:color="auto"/>
        <w:left w:val="none" w:sz="0" w:space="0" w:color="auto"/>
        <w:bottom w:val="none" w:sz="0" w:space="0" w:color="auto"/>
        <w:right w:val="none" w:sz="0" w:space="0" w:color="auto"/>
      </w:divBdr>
    </w:div>
    <w:div w:id="2114469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chart" Target="charts/chart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Home.co.uk"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chart" Target="charts/chart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hyperlink" Target="http://www.lifetimehomes.org.uk/" TargetMode="External"/><Relationship Id="rId10" Type="http://schemas.openxmlformats.org/officeDocument/2006/relationships/header" Target="header1.xml"/><Relationship Id="rId19"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home.co.uk" TargetMode="External"/><Relationship Id="rId22" Type="http://schemas.openxmlformats.org/officeDocument/2006/relationships/hyperlink" Target="http://home.co.uk"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greaternorwichgrowth.org.uk/planning/greater-norwich-local-plan/" TargetMode="External"/><Relationship Id="rId13" Type="http://schemas.openxmlformats.org/officeDocument/2006/relationships/hyperlink" Target="https://www.ons.gov.uk/peoplepopulationandcommunity/personalandhouseholdfinances/incomeandwealth/bulletins/smallareamodelbasedincomeestimates/financialyearending2016" TargetMode="External"/><Relationship Id="rId18" Type="http://schemas.openxmlformats.org/officeDocument/2006/relationships/hyperlink" Target="http://england.shelter.org.uk/housing_advice/repairs/overcrowding" TargetMode="External"/><Relationship Id="rId3" Type="http://schemas.openxmlformats.org/officeDocument/2006/relationships/hyperlink" Target="https://www.broadland.gov.uk/downloads/file/1310/joint_core_strategy_adopted_document_2014" TargetMode="External"/><Relationship Id="rId21" Type="http://schemas.openxmlformats.org/officeDocument/2006/relationships/hyperlink" Target="https://www.gov.uk/guidance/national-planning-policy-framework/annex-2-glossary" TargetMode="External"/><Relationship Id="rId7" Type="http://schemas.openxmlformats.org/officeDocument/2006/relationships/hyperlink" Target="https://www.broadland.gov.uk/info/200164/neighbourhood_plans/403/areas_with_adopted_neighbourhood_plans" TargetMode="External"/><Relationship Id="rId12" Type="http://schemas.openxmlformats.org/officeDocument/2006/relationships/hyperlink" Target="https://www.gov.uk/guidance/housing-and-economic-development-needs-assessments" TargetMode="External"/><Relationship Id="rId17" Type="http://schemas.openxmlformats.org/officeDocument/2006/relationships/hyperlink" Target="https://www.gov.uk/guidance/dwelling-stock-data-notes-and-definitions-includes-hfr-full-guidance-notes-and-returns-form" TargetMode="External"/><Relationship Id="rId25" Type="http://schemas.openxmlformats.org/officeDocument/2006/relationships/hyperlink" Target="http://www.communities.gov.uk/documents/planningandbuilding/doc/1980960.doc" TargetMode="External"/><Relationship Id="rId2" Type="http://schemas.openxmlformats.org/officeDocument/2006/relationships/hyperlink" Target="https://www.gov.uk/guidance/neighbourhood-planning--2" TargetMode="External"/><Relationship Id="rId16" Type="http://schemas.openxmlformats.org/officeDocument/2006/relationships/hyperlink" Target="https://www.nomisweb.co.uk/census/2011/qs407ew" TargetMode="External"/><Relationship Id="rId20" Type="http://schemas.openxmlformats.org/officeDocument/2006/relationships/hyperlink" Target="https://www.gov.uk/government/statistics/english-housing-survey-2011-to-2012-household-report" TargetMode="External"/><Relationship Id="rId1" Type="http://schemas.openxmlformats.org/officeDocument/2006/relationships/hyperlink" Target="https://www.broadland.gov.uk/downloads/file/5213/reedham_neighbourhood_area_map" TargetMode="External"/><Relationship Id="rId6" Type="http://schemas.openxmlformats.org/officeDocument/2006/relationships/hyperlink" Target="https://www.broadland.gov.uk/downloads/file/1143/growth_triangle_area_action_plan_adopted_july_2016" TargetMode="External"/><Relationship Id="rId11" Type="http://schemas.openxmlformats.org/officeDocument/2006/relationships/hyperlink" Target="https://www.gov.uk/guidance/planning-obligations" TargetMode="External"/><Relationship Id="rId24" Type="http://schemas.openxmlformats.org/officeDocument/2006/relationships/hyperlink" Target="http://www.housingcare.org/jargon-sheltered-housing.aspx" TargetMode="External"/><Relationship Id="rId5" Type="http://schemas.openxmlformats.org/officeDocument/2006/relationships/hyperlink" Target="https://www.broadland.gov.uk/downloads/file/1308/site_allocations_dpd_adopted_2016" TargetMode="External"/><Relationship Id="rId15" Type="http://schemas.openxmlformats.org/officeDocument/2006/relationships/hyperlink" Target="https://assets.publishing.service.gov.uk/government/uploads/system/uploads/attachment_data/file/590464/Fixing_our_broken_housing_market_-_print_ready_version.pdf" TargetMode="External"/><Relationship Id="rId23" Type="http://schemas.openxmlformats.org/officeDocument/2006/relationships/hyperlink" Target="https://www.which.co.uk/news/2017/08/how-your-income-affects-your-mortgage-chances/" TargetMode="External"/><Relationship Id="rId10" Type="http://schemas.openxmlformats.org/officeDocument/2006/relationships/hyperlink" Target="https://www.gov.uk/guidance/housing-and-economic-development-needs-assessments" TargetMode="External"/><Relationship Id="rId19" Type="http://schemas.openxmlformats.org/officeDocument/2006/relationships/hyperlink" Target="http://www.communities.gov.uk/documents/planningandbuilding/pdf/1918430.pdf" TargetMode="External"/><Relationship Id="rId4" Type="http://schemas.openxmlformats.org/officeDocument/2006/relationships/hyperlink" Target="https://www.broadland.gov.uk/downloads/file/1118/development_management_dpd_adopted" TargetMode="External"/><Relationship Id="rId9" Type="http://schemas.openxmlformats.org/officeDocument/2006/relationships/hyperlink" Target="http://www.greaternorwichgrowth.org.uk/planning/greater-norwich-local-plan/" TargetMode="External"/><Relationship Id="rId14" Type="http://schemas.openxmlformats.org/officeDocument/2006/relationships/hyperlink" Target="https://www.ons.gov.uk/methodology/geography/ukgeographies/censusgeography" TargetMode="External"/><Relationship Id="rId22" Type="http://schemas.openxmlformats.org/officeDocument/2006/relationships/hyperlink" Target="http://webarchive.nationalarchives.gov.uk/20160107160832/http://www.ons.gov.uk/ons/dcp171776_350282.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Avery1\AppData\Roaming\Microsoft\Templates\AECOM_Report.dotm"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Uklon06pfpsw001\wip3\LN_Planning\PED%20London\PEL%20Projects\Current%20Projects\DCLG%20NP\8.%20NP%20Contract%202018-2022\Deliverables\Housing%20Needs%20Assessment\Reedham\HNA%20DATA\2.%20Land%20Registry\Land%20Registry%20Dat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Uklon06pfpsw001\wip3\LN_Planning\PED%20London\PEL%20Projects\Current%20Projects\DCLG%20NP\8.%20NP%20Contract%202018-2022\Deliverables\Housing%20Needs%20Assessment\Reedham\HNA%20DATA\Copy%20of%20Intermdiate%20Housing%20Affordability%20Too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Uklon06pfpsw001\wip3\LN_Planning\PED%20London\PEL%20Projects\Current%20Projects\DCLG%20NP\8.%20NP%20Contract%202018-2022\Deliverables\Housing%20Needs%20Assessment\Reedham\HNA%20DATA\Copy%20of%20AECOM%20HNA%20Reedham%20Tool%20v0.5.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Uklon06pfpsw001\wip3\LN_Planning\PED%20London\PEL%20Projects\Current%20Projects\DCLG%20NP\8.%20NP%20Contract%202018-2022\Deliverables\Housing%20Needs%20Assessment\Reedham\HNA%20DATA\Copy%20of%20AECOM%20HNA%20Reedham%20Tool%20v0.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GB"/>
  <c:chart>
    <c:autoTitleDeleted val="1"/>
    <c:plotArea>
      <c:layout/>
      <c:lineChart>
        <c:grouping val="standard"/>
        <c:ser>
          <c:idx val="0"/>
          <c:order val="0"/>
          <c:tx>
            <c:strRef>
              <c:f>'OUTPUT PRICES'!$A$35</c:f>
              <c:strCache>
                <c:ptCount val="1"/>
                <c:pt idx="0">
                  <c:v>Mean</c:v>
                </c:pt>
              </c:strCache>
            </c:strRef>
          </c:tx>
          <c:spPr>
            <a:ln w="28575" cap="rnd">
              <a:solidFill>
                <a:schemeClr val="accent1"/>
              </a:solidFill>
              <a:round/>
            </a:ln>
            <a:effectLst/>
          </c:spPr>
          <c:marker>
            <c:symbol val="none"/>
          </c:marker>
          <c:cat>
            <c:numRef>
              <c:f>'OUTPUT PRICES'!$B$34:$K$34</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'OUTPUT PRICES'!$B$35:$K$35</c:f>
              <c:numCache>
                <c:formatCode>"£"#,##0</c:formatCode>
                <c:ptCount val="10"/>
                <c:pt idx="0">
                  <c:v>144772.5</c:v>
                </c:pt>
                <c:pt idx="1">
                  <c:v>201219.44444444438</c:v>
                </c:pt>
                <c:pt idx="2">
                  <c:v>260093.75</c:v>
                </c:pt>
                <c:pt idx="3">
                  <c:v>212978</c:v>
                </c:pt>
                <c:pt idx="4">
                  <c:v>185409.09090909091</c:v>
                </c:pt>
                <c:pt idx="5">
                  <c:v>199642.64</c:v>
                </c:pt>
                <c:pt idx="6">
                  <c:v>227557.69230769231</c:v>
                </c:pt>
                <c:pt idx="7">
                  <c:v>254269.03846153847</c:v>
                </c:pt>
                <c:pt idx="8">
                  <c:v>270240</c:v>
                </c:pt>
                <c:pt idx="9">
                  <c:v>240763.15789473685</c:v>
                </c:pt>
              </c:numCache>
            </c:numRef>
          </c:val>
          <c:extLst xmlns:c16r2="http://schemas.microsoft.com/office/drawing/2015/06/chart">
            <c:ext xmlns:c16="http://schemas.microsoft.com/office/drawing/2014/chart" uri="{C3380CC4-5D6E-409C-BE32-E72D297353CC}">
              <c16:uniqueId val="{00000000-34BC-4065-8EBD-0709B15754C4}"/>
            </c:ext>
          </c:extLst>
        </c:ser>
        <c:ser>
          <c:idx val="1"/>
          <c:order val="1"/>
          <c:tx>
            <c:strRef>
              <c:f>'OUTPUT PRICES'!$A$36</c:f>
              <c:strCache>
                <c:ptCount val="1"/>
                <c:pt idx="0">
                  <c:v>Median</c:v>
                </c:pt>
              </c:strCache>
            </c:strRef>
          </c:tx>
          <c:spPr>
            <a:ln w="28575" cap="rnd">
              <a:solidFill>
                <a:schemeClr val="accent2"/>
              </a:solidFill>
              <a:round/>
            </a:ln>
            <a:effectLst/>
          </c:spPr>
          <c:marker>
            <c:symbol val="none"/>
          </c:marker>
          <c:cat>
            <c:numRef>
              <c:f>'OUTPUT PRICES'!$B$34:$K$34</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'OUTPUT PRICES'!$B$36:$K$36</c:f>
              <c:numCache>
                <c:formatCode>"£"#,##0</c:formatCode>
                <c:ptCount val="10"/>
                <c:pt idx="0">
                  <c:v>110000</c:v>
                </c:pt>
                <c:pt idx="1">
                  <c:v>211500</c:v>
                </c:pt>
                <c:pt idx="2">
                  <c:v>227500</c:v>
                </c:pt>
                <c:pt idx="3">
                  <c:v>195000</c:v>
                </c:pt>
                <c:pt idx="4">
                  <c:v>170000</c:v>
                </c:pt>
                <c:pt idx="5">
                  <c:v>180000</c:v>
                </c:pt>
                <c:pt idx="6">
                  <c:v>222500</c:v>
                </c:pt>
                <c:pt idx="7">
                  <c:v>245500</c:v>
                </c:pt>
                <c:pt idx="8">
                  <c:v>248000</c:v>
                </c:pt>
                <c:pt idx="9">
                  <c:v>200000</c:v>
                </c:pt>
              </c:numCache>
            </c:numRef>
          </c:val>
          <c:extLst xmlns:c16r2="http://schemas.microsoft.com/office/drawing/2015/06/chart">
            <c:ext xmlns:c16="http://schemas.microsoft.com/office/drawing/2014/chart" uri="{C3380CC4-5D6E-409C-BE32-E72D297353CC}">
              <c16:uniqueId val="{00000001-34BC-4065-8EBD-0709B15754C4}"/>
            </c:ext>
          </c:extLst>
        </c:ser>
        <c:ser>
          <c:idx val="2"/>
          <c:order val="2"/>
          <c:tx>
            <c:strRef>
              <c:f>'OUTPUT PRICES'!$A$37</c:f>
              <c:strCache>
                <c:ptCount val="1"/>
                <c:pt idx="0">
                  <c:v>Lower quartile</c:v>
                </c:pt>
              </c:strCache>
            </c:strRef>
          </c:tx>
          <c:spPr>
            <a:ln w="28575" cap="rnd">
              <a:solidFill>
                <a:schemeClr val="accent3"/>
              </a:solidFill>
              <a:round/>
            </a:ln>
            <a:effectLst/>
          </c:spPr>
          <c:marker>
            <c:symbol val="none"/>
          </c:marker>
          <c:cat>
            <c:numRef>
              <c:f>'OUTPUT PRICES'!$B$34:$K$34</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'OUTPUT PRICES'!$B$37:$K$37</c:f>
              <c:numCache>
                <c:formatCode>"£"#,##0</c:formatCode>
                <c:ptCount val="10"/>
                <c:pt idx="0">
                  <c:v>93000</c:v>
                </c:pt>
                <c:pt idx="1">
                  <c:v>158750</c:v>
                </c:pt>
                <c:pt idx="2">
                  <c:v>196000</c:v>
                </c:pt>
                <c:pt idx="3">
                  <c:v>159000</c:v>
                </c:pt>
                <c:pt idx="4">
                  <c:v>147500</c:v>
                </c:pt>
                <c:pt idx="5">
                  <c:v>145950</c:v>
                </c:pt>
                <c:pt idx="6">
                  <c:v>170000</c:v>
                </c:pt>
                <c:pt idx="7">
                  <c:v>210000</c:v>
                </c:pt>
                <c:pt idx="8">
                  <c:v>210000</c:v>
                </c:pt>
                <c:pt idx="9">
                  <c:v>178750</c:v>
                </c:pt>
              </c:numCache>
            </c:numRef>
          </c:val>
          <c:extLst xmlns:c16r2="http://schemas.microsoft.com/office/drawing/2015/06/chart">
            <c:ext xmlns:c16="http://schemas.microsoft.com/office/drawing/2014/chart" uri="{C3380CC4-5D6E-409C-BE32-E72D297353CC}">
              <c16:uniqueId val="{00000002-34BC-4065-8EBD-0709B15754C4}"/>
            </c:ext>
          </c:extLst>
        </c:ser>
        <c:marker val="1"/>
        <c:axId val="124594816"/>
        <c:axId val="124604800"/>
      </c:lineChart>
      <c:catAx>
        <c:axId val="12459481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4604800"/>
        <c:crosses val="autoZero"/>
        <c:auto val="1"/>
        <c:lblAlgn val="ctr"/>
        <c:lblOffset val="100"/>
      </c:catAx>
      <c:valAx>
        <c:axId val="124604800"/>
        <c:scaling>
          <c:orientation val="minMax"/>
        </c:scaling>
        <c:axPos val="l"/>
        <c:majorGridlines>
          <c:spPr>
            <a:ln w="9525" cap="flat" cmpd="sng" algn="ctr">
              <a:solidFill>
                <a:schemeClr val="tx1">
                  <a:lumMod val="15000"/>
                  <a:lumOff val="85000"/>
                </a:schemeClr>
              </a:solidFill>
              <a:round/>
            </a:ln>
            <a:effectLst/>
          </c:spPr>
        </c:majorGridlines>
        <c:numFmt formatCode="&quot;£&quot;#,##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459481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plotArea>
      <c:layout>
        <c:manualLayout>
          <c:layoutTarget val="inner"/>
          <c:xMode val="edge"/>
          <c:yMode val="edge"/>
          <c:x val="6.35369750051962E-2"/>
          <c:y val="2.7038097097223417E-2"/>
          <c:w val="0.78001005399186962"/>
          <c:h val="0.88223023936238554"/>
        </c:manualLayout>
      </c:layout>
      <c:barChart>
        <c:barDir val="col"/>
        <c:grouping val="clustered"/>
        <c:ser>
          <c:idx val="0"/>
          <c:order val="0"/>
          <c:tx>
            <c:strRef>
              <c:f>'Affordability Thresholds'!$N$1</c:f>
              <c:strCache>
                <c:ptCount val="1"/>
                <c:pt idx="0">
                  <c:v>Income Required</c:v>
                </c:pt>
              </c:strCache>
            </c:strRef>
          </c:tx>
          <c:cat>
            <c:strRef>
              <c:f>'Affordability Thresholds'!$M$2:$M$9</c:f>
              <c:strCache>
                <c:ptCount val="8"/>
                <c:pt idx="0">
                  <c:v>Entry-level Market Sale</c:v>
                </c:pt>
                <c:pt idx="1">
                  <c:v>Shared ownership (75%)</c:v>
                </c:pt>
                <c:pt idx="2">
                  <c:v>Discounted market sale at 20% discount</c:v>
                </c:pt>
                <c:pt idx="3">
                  <c:v>Entry-level Market Rent</c:v>
                </c:pt>
                <c:pt idx="4">
                  <c:v>Shared ownership (50%)</c:v>
                </c:pt>
                <c:pt idx="5">
                  <c:v>Affordable Rent</c:v>
                </c:pt>
                <c:pt idx="6">
                  <c:v>Shared ownership (25%)</c:v>
                </c:pt>
                <c:pt idx="7">
                  <c:v>Social rent - average</c:v>
                </c:pt>
              </c:strCache>
            </c:strRef>
          </c:cat>
          <c:val>
            <c:numRef>
              <c:f>'Affordability Thresholds'!$N$2:$N$9</c:f>
              <c:numCache>
                <c:formatCode>"£"#,##0</c:formatCode>
                <c:ptCount val="8"/>
                <c:pt idx="0">
                  <c:v>45964.285714285703</c:v>
                </c:pt>
                <c:pt idx="1">
                  <c:v>38941.964285714275</c:v>
                </c:pt>
                <c:pt idx="2">
                  <c:v>36771.428571428602</c:v>
                </c:pt>
                <c:pt idx="3">
                  <c:v>32880</c:v>
                </c:pt>
                <c:pt idx="4">
                  <c:v>31919.642857142859</c:v>
                </c:pt>
                <c:pt idx="5">
                  <c:v>26304</c:v>
                </c:pt>
                <c:pt idx="6">
                  <c:v>24897.32142857142</c:v>
                </c:pt>
                <c:pt idx="7" formatCode="&quot;£&quot;#,##0_);[Red]\(&quot;£&quot;#,##0\)">
                  <c:v>19475</c:v>
                </c:pt>
              </c:numCache>
            </c:numRef>
          </c:val>
          <c:extLst xmlns:c16r2="http://schemas.microsoft.com/office/drawing/2015/06/chart">
            <c:ext xmlns:c16="http://schemas.microsoft.com/office/drawing/2014/chart" uri="{C3380CC4-5D6E-409C-BE32-E72D297353CC}">
              <c16:uniqueId val="{00000000-898A-4D51-A552-882A1D83F6EE}"/>
            </c:ext>
          </c:extLst>
        </c:ser>
        <c:ser>
          <c:idx val="1"/>
          <c:order val="1"/>
          <c:tx>
            <c:strRef>
              <c:f>'Affordability Thresholds'!$O$1</c:f>
              <c:strCache>
                <c:ptCount val="1"/>
                <c:pt idx="0">
                  <c:v>Deposit</c:v>
                </c:pt>
              </c:strCache>
            </c:strRef>
          </c:tx>
          <c:cat>
            <c:strRef>
              <c:f>'Affordability Thresholds'!$M$2:$M$9</c:f>
              <c:strCache>
                <c:ptCount val="8"/>
                <c:pt idx="0">
                  <c:v>Entry-level Market Sale</c:v>
                </c:pt>
                <c:pt idx="1">
                  <c:v>Shared ownership (75%)</c:v>
                </c:pt>
                <c:pt idx="2">
                  <c:v>Discounted market sale at 20% discount</c:v>
                </c:pt>
                <c:pt idx="3">
                  <c:v>Entry-level Market Rent</c:v>
                </c:pt>
                <c:pt idx="4">
                  <c:v>Shared ownership (50%)</c:v>
                </c:pt>
                <c:pt idx="5">
                  <c:v>Affordable Rent</c:v>
                </c:pt>
                <c:pt idx="6">
                  <c:v>Shared ownership (25%)</c:v>
                </c:pt>
                <c:pt idx="7">
                  <c:v>Social rent - average</c:v>
                </c:pt>
              </c:strCache>
            </c:strRef>
          </c:cat>
          <c:val>
            <c:numRef>
              <c:f>'Affordability Thresholds'!$O$2:$O$9</c:f>
              <c:numCache>
                <c:formatCode>"£"#,##0_);[Red]\("£"#,##0\)</c:formatCode>
                <c:ptCount val="8"/>
                <c:pt idx="0">
                  <c:v>-16087.5</c:v>
                </c:pt>
                <c:pt idx="1">
                  <c:v>-12065.625</c:v>
                </c:pt>
                <c:pt idx="2">
                  <c:v>-12870</c:v>
                </c:pt>
                <c:pt idx="4">
                  <c:v>-8043.75</c:v>
                </c:pt>
                <c:pt idx="6">
                  <c:v>-4021.8750000000009</c:v>
                </c:pt>
                <c:pt idx="7">
                  <c:v>0</c:v>
                </c:pt>
              </c:numCache>
            </c:numRef>
          </c:val>
          <c:extLst xmlns:c16r2="http://schemas.microsoft.com/office/drawing/2015/06/chart">
            <c:ext xmlns:c16="http://schemas.microsoft.com/office/drawing/2014/chart" uri="{C3380CC4-5D6E-409C-BE32-E72D297353CC}">
              <c16:uniqueId val="{00000001-898A-4D51-A552-882A1D83F6EE}"/>
            </c:ext>
          </c:extLst>
        </c:ser>
        <c:gapWidth val="141"/>
        <c:overlap val="100"/>
        <c:axId val="124633472"/>
        <c:axId val="124635008"/>
      </c:barChart>
      <c:lineChart>
        <c:grouping val="standard"/>
        <c:ser>
          <c:idx val="2"/>
          <c:order val="2"/>
          <c:tx>
            <c:strRef>
              <c:f>'Affordability Thresholds'!$P$1</c:f>
              <c:strCache>
                <c:ptCount val="1"/>
                <c:pt idx="0">
                  <c:v>Total annual household income</c:v>
                </c:pt>
              </c:strCache>
            </c:strRef>
          </c:tx>
          <c:marker>
            <c:symbol val="none"/>
          </c:marker>
          <c:cat>
            <c:strRef>
              <c:f>'Affordability Thresholds'!$M$2:$M$9</c:f>
              <c:strCache>
                <c:ptCount val="8"/>
                <c:pt idx="0">
                  <c:v>Entry-level Market Sale</c:v>
                </c:pt>
                <c:pt idx="1">
                  <c:v>Shared ownership (75%)</c:v>
                </c:pt>
                <c:pt idx="2">
                  <c:v>Discounted market sale at 20% discount</c:v>
                </c:pt>
                <c:pt idx="3">
                  <c:v>Entry-level Market Rent</c:v>
                </c:pt>
                <c:pt idx="4">
                  <c:v>Shared ownership (50%)</c:v>
                </c:pt>
                <c:pt idx="5">
                  <c:v>Affordable Rent</c:v>
                </c:pt>
                <c:pt idx="6">
                  <c:v>Shared ownership (25%)</c:v>
                </c:pt>
                <c:pt idx="7">
                  <c:v>Social rent - average</c:v>
                </c:pt>
              </c:strCache>
            </c:strRef>
          </c:cat>
          <c:val>
            <c:numRef>
              <c:f>'Affordability Thresholds'!$P$2:$P$9</c:f>
              <c:numCache>
                <c:formatCode>"£"#,##0</c:formatCode>
                <c:ptCount val="8"/>
                <c:pt idx="0">
                  <c:v>41500</c:v>
                </c:pt>
                <c:pt idx="1">
                  <c:v>41500</c:v>
                </c:pt>
                <c:pt idx="2">
                  <c:v>41500</c:v>
                </c:pt>
                <c:pt idx="3">
                  <c:v>41500</c:v>
                </c:pt>
                <c:pt idx="4">
                  <c:v>41500</c:v>
                </c:pt>
                <c:pt idx="5">
                  <c:v>41500</c:v>
                </c:pt>
                <c:pt idx="6">
                  <c:v>41500</c:v>
                </c:pt>
                <c:pt idx="7">
                  <c:v>41500</c:v>
                </c:pt>
              </c:numCache>
            </c:numRef>
          </c:val>
          <c:extLst xmlns:c16r2="http://schemas.microsoft.com/office/drawing/2015/06/chart">
            <c:ext xmlns:c16="http://schemas.microsoft.com/office/drawing/2014/chart" uri="{C3380CC4-5D6E-409C-BE32-E72D297353CC}">
              <c16:uniqueId val="{00000002-898A-4D51-A552-882A1D83F6EE}"/>
            </c:ext>
          </c:extLst>
        </c:ser>
        <c:ser>
          <c:idx val="3"/>
          <c:order val="3"/>
          <c:tx>
            <c:strRef>
              <c:f>'Affordability Thresholds'!$Q$1</c:f>
              <c:strCache>
                <c:ptCount val="1"/>
                <c:pt idx="0">
                  <c:v>Lower quartile annual earnings</c:v>
                </c:pt>
              </c:strCache>
            </c:strRef>
          </c:tx>
          <c:marker>
            <c:symbol val="none"/>
          </c:marker>
          <c:cat>
            <c:strRef>
              <c:f>'Affordability Thresholds'!$M$2:$M$9</c:f>
              <c:strCache>
                <c:ptCount val="8"/>
                <c:pt idx="0">
                  <c:v>Entry-level Market Sale</c:v>
                </c:pt>
                <c:pt idx="1">
                  <c:v>Shared ownership (75%)</c:v>
                </c:pt>
                <c:pt idx="2">
                  <c:v>Discounted market sale at 20% discount</c:v>
                </c:pt>
                <c:pt idx="3">
                  <c:v>Entry-level Market Rent</c:v>
                </c:pt>
                <c:pt idx="4">
                  <c:v>Shared ownership (50%)</c:v>
                </c:pt>
                <c:pt idx="5">
                  <c:v>Affordable Rent</c:v>
                </c:pt>
                <c:pt idx="6">
                  <c:v>Shared ownership (25%)</c:v>
                </c:pt>
                <c:pt idx="7">
                  <c:v>Social rent - average</c:v>
                </c:pt>
              </c:strCache>
            </c:strRef>
          </c:cat>
          <c:val>
            <c:numRef>
              <c:f>'Affordability Thresholds'!$Q$2:$Q$9</c:f>
              <c:numCache>
                <c:formatCode>"£"#,##0</c:formatCode>
                <c:ptCount val="8"/>
                <c:pt idx="0">
                  <c:v>21088</c:v>
                </c:pt>
                <c:pt idx="1">
                  <c:v>21088</c:v>
                </c:pt>
                <c:pt idx="2">
                  <c:v>21088</c:v>
                </c:pt>
                <c:pt idx="3">
                  <c:v>21088</c:v>
                </c:pt>
                <c:pt idx="4">
                  <c:v>21088</c:v>
                </c:pt>
                <c:pt idx="5">
                  <c:v>21088</c:v>
                </c:pt>
                <c:pt idx="6">
                  <c:v>21088</c:v>
                </c:pt>
                <c:pt idx="7">
                  <c:v>21088</c:v>
                </c:pt>
              </c:numCache>
            </c:numRef>
          </c:val>
          <c:extLst xmlns:c16r2="http://schemas.microsoft.com/office/drawing/2015/06/chart">
            <c:ext xmlns:c16="http://schemas.microsoft.com/office/drawing/2014/chart" uri="{C3380CC4-5D6E-409C-BE32-E72D297353CC}">
              <c16:uniqueId val="{00000003-898A-4D51-A552-882A1D83F6EE}"/>
            </c:ext>
          </c:extLst>
        </c:ser>
        <c:marker val="1"/>
        <c:axId val="124633472"/>
        <c:axId val="124635008"/>
      </c:lineChart>
      <c:catAx>
        <c:axId val="124633472"/>
        <c:scaling>
          <c:orientation val="minMax"/>
        </c:scaling>
        <c:axPos val="b"/>
        <c:numFmt formatCode="General" sourceLinked="0"/>
        <c:tickLblPos val="low"/>
        <c:crossAx val="124635008"/>
        <c:crosses val="autoZero"/>
        <c:auto val="1"/>
        <c:lblAlgn val="ctr"/>
        <c:lblOffset val="100"/>
      </c:catAx>
      <c:valAx>
        <c:axId val="124635008"/>
        <c:scaling>
          <c:orientation val="minMax"/>
        </c:scaling>
        <c:axPos val="l"/>
        <c:majorGridlines/>
        <c:numFmt formatCode="&quot;£&quot;#,##0" sourceLinked="1"/>
        <c:tickLblPos val="nextTo"/>
        <c:crossAx val="124633472"/>
        <c:crosses val="autoZero"/>
        <c:crossBetween val="between"/>
      </c:valAx>
    </c:plotArea>
    <c:legend>
      <c:legendPos val="r"/>
      <c:layout>
        <c:manualLayout>
          <c:xMode val="edge"/>
          <c:yMode val="edge"/>
          <c:x val="0.86426878960571918"/>
          <c:y val="0.24622267800691011"/>
          <c:w val="0.12492116995649519"/>
          <c:h val="0.51486038760192332"/>
        </c:manualLayout>
      </c:layout>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autoTitleDeleted val="1"/>
    <c:plotArea>
      <c:layout>
        <c:manualLayout>
          <c:layoutTarget val="inner"/>
          <c:xMode val="edge"/>
          <c:yMode val="edge"/>
          <c:x val="0.17380943235754076"/>
          <c:y val="7.6922991009102618E-2"/>
          <c:w val="0.82619045400390079"/>
          <c:h val="0.65693408953251475"/>
        </c:manualLayout>
      </c:layout>
      <c:barChart>
        <c:barDir val="col"/>
        <c:grouping val="clustered"/>
        <c:ser>
          <c:idx val="0"/>
          <c:order val="0"/>
          <c:tx>
            <c:strRef>
              <c:f>'Type &amp; Size'!$C$107</c:f>
              <c:strCache>
                <c:ptCount val="1"/>
                <c:pt idx="0">
                  <c:v>Reedham</c:v>
                </c:pt>
              </c:strCache>
            </c:strRef>
          </c:tx>
          <c:spPr>
            <a:solidFill>
              <a:srgbClr val="00B5E5"/>
            </a:solidFill>
            <a:ln>
              <a:noFill/>
            </a:ln>
            <a:effectLst/>
          </c:spPr>
          <c:cat>
            <c:strRef>
              <c:f>'Type &amp; Size'!$B$108:$B$113</c:f>
              <c:strCache>
                <c:ptCount val="6"/>
                <c:pt idx="0">
                  <c:v>0-15</c:v>
                </c:pt>
                <c:pt idx="1">
                  <c:v>16-24</c:v>
                </c:pt>
                <c:pt idx="2">
                  <c:v>25-44</c:v>
                </c:pt>
                <c:pt idx="3">
                  <c:v>45-64</c:v>
                </c:pt>
                <c:pt idx="4">
                  <c:v>65-84</c:v>
                </c:pt>
                <c:pt idx="5">
                  <c:v>85 and over</c:v>
                </c:pt>
              </c:strCache>
            </c:strRef>
          </c:cat>
          <c:val>
            <c:numRef>
              <c:f>'Type &amp; Size'!$C$108:$C$113</c:f>
              <c:numCache>
                <c:formatCode>0%</c:formatCode>
                <c:ptCount val="6"/>
                <c:pt idx="0">
                  <c:v>0.16</c:v>
                </c:pt>
                <c:pt idx="1">
                  <c:v>9.0000000000000024E-2</c:v>
                </c:pt>
                <c:pt idx="2">
                  <c:v>0.2</c:v>
                </c:pt>
                <c:pt idx="3">
                  <c:v>0.33000000000000013</c:v>
                </c:pt>
                <c:pt idx="4">
                  <c:v>0.19</c:v>
                </c:pt>
                <c:pt idx="5">
                  <c:v>2.0000000000000007E-2</c:v>
                </c:pt>
              </c:numCache>
            </c:numRef>
          </c:val>
          <c:extLst xmlns:c16r2="http://schemas.microsoft.com/office/drawing/2015/06/chart">
            <c:ext xmlns:c16="http://schemas.microsoft.com/office/drawing/2014/chart" uri="{C3380CC4-5D6E-409C-BE32-E72D297353CC}">
              <c16:uniqueId val="{00000000-4A31-442D-8524-BE5FF66C28F6}"/>
            </c:ext>
          </c:extLst>
        </c:ser>
        <c:ser>
          <c:idx val="1"/>
          <c:order val="1"/>
          <c:tx>
            <c:strRef>
              <c:f>'Type &amp; Size'!$D$107</c:f>
              <c:strCache>
                <c:ptCount val="1"/>
                <c:pt idx="0">
                  <c:v>Broadland</c:v>
                </c:pt>
              </c:strCache>
            </c:strRef>
          </c:tx>
          <c:spPr>
            <a:solidFill>
              <a:srgbClr val="7FBB42"/>
            </a:solidFill>
            <a:ln>
              <a:noFill/>
            </a:ln>
            <a:effectLst/>
          </c:spPr>
          <c:cat>
            <c:strRef>
              <c:f>'Type &amp; Size'!$B$108:$B$113</c:f>
              <c:strCache>
                <c:ptCount val="6"/>
                <c:pt idx="0">
                  <c:v>0-15</c:v>
                </c:pt>
                <c:pt idx="1">
                  <c:v>16-24</c:v>
                </c:pt>
                <c:pt idx="2">
                  <c:v>25-44</c:v>
                </c:pt>
                <c:pt idx="3">
                  <c:v>45-64</c:v>
                </c:pt>
                <c:pt idx="4">
                  <c:v>65-84</c:v>
                </c:pt>
                <c:pt idx="5">
                  <c:v>85 and over</c:v>
                </c:pt>
              </c:strCache>
            </c:strRef>
          </c:cat>
          <c:val>
            <c:numRef>
              <c:f>'Type &amp; Size'!$D$108:$D$113</c:f>
              <c:numCache>
                <c:formatCode>0%</c:formatCode>
                <c:ptCount val="6"/>
                <c:pt idx="0">
                  <c:v>0.17</c:v>
                </c:pt>
                <c:pt idx="1">
                  <c:v>9.0000000000000024E-2</c:v>
                </c:pt>
                <c:pt idx="2">
                  <c:v>0.23</c:v>
                </c:pt>
                <c:pt idx="3">
                  <c:v>0.29000000000000009</c:v>
                </c:pt>
                <c:pt idx="4">
                  <c:v>0.19</c:v>
                </c:pt>
                <c:pt idx="5">
                  <c:v>3.0000000000000002E-2</c:v>
                </c:pt>
              </c:numCache>
            </c:numRef>
          </c:val>
          <c:extLst xmlns:c16r2="http://schemas.microsoft.com/office/drawing/2015/06/chart">
            <c:ext xmlns:c16="http://schemas.microsoft.com/office/drawing/2014/chart" uri="{C3380CC4-5D6E-409C-BE32-E72D297353CC}">
              <c16:uniqueId val="{00000001-4A31-442D-8524-BE5FF66C28F6}"/>
            </c:ext>
          </c:extLst>
        </c:ser>
        <c:ser>
          <c:idx val="2"/>
          <c:order val="2"/>
          <c:tx>
            <c:strRef>
              <c:f>'Type &amp; Size'!$E$107</c:f>
              <c:strCache>
                <c:ptCount val="1"/>
                <c:pt idx="0">
                  <c:v>England</c:v>
                </c:pt>
              </c:strCache>
            </c:strRef>
          </c:tx>
          <c:spPr>
            <a:solidFill>
              <a:srgbClr val="F68B1F"/>
            </a:solidFill>
            <a:ln>
              <a:noFill/>
            </a:ln>
            <a:effectLst/>
          </c:spPr>
          <c:cat>
            <c:strRef>
              <c:f>'Type &amp; Size'!$B$108:$B$113</c:f>
              <c:strCache>
                <c:ptCount val="6"/>
                <c:pt idx="0">
                  <c:v>0-15</c:v>
                </c:pt>
                <c:pt idx="1">
                  <c:v>16-24</c:v>
                </c:pt>
                <c:pt idx="2">
                  <c:v>25-44</c:v>
                </c:pt>
                <c:pt idx="3">
                  <c:v>45-64</c:v>
                </c:pt>
                <c:pt idx="4">
                  <c:v>65-84</c:v>
                </c:pt>
                <c:pt idx="5">
                  <c:v>85 and over</c:v>
                </c:pt>
              </c:strCache>
            </c:strRef>
          </c:cat>
          <c:val>
            <c:numRef>
              <c:f>'Type &amp; Size'!$E$108:$E$113</c:f>
              <c:numCache>
                <c:formatCode>0%</c:formatCode>
                <c:ptCount val="6"/>
                <c:pt idx="0">
                  <c:v>0.19</c:v>
                </c:pt>
                <c:pt idx="1">
                  <c:v>0.12000000000000002</c:v>
                </c:pt>
                <c:pt idx="2">
                  <c:v>0.28000000000000008</c:v>
                </c:pt>
                <c:pt idx="3">
                  <c:v>0.25</c:v>
                </c:pt>
                <c:pt idx="4">
                  <c:v>0.14000000000000001</c:v>
                </c:pt>
                <c:pt idx="5">
                  <c:v>2.0000000000000007E-2</c:v>
                </c:pt>
              </c:numCache>
            </c:numRef>
          </c:val>
          <c:extLst xmlns:c16r2="http://schemas.microsoft.com/office/drawing/2015/06/chart">
            <c:ext xmlns:c16="http://schemas.microsoft.com/office/drawing/2014/chart" uri="{C3380CC4-5D6E-409C-BE32-E72D297353CC}">
              <c16:uniqueId val="{00000002-4A31-442D-8524-BE5FF66C28F6}"/>
            </c:ext>
          </c:extLst>
        </c:ser>
        <c:gapWidth val="219"/>
        <c:overlap val="-27"/>
        <c:axId val="125139584"/>
        <c:axId val="125149568"/>
      </c:barChart>
      <c:catAx>
        <c:axId val="12513958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25149568"/>
        <c:crosses val="autoZero"/>
        <c:auto val="1"/>
        <c:lblAlgn val="ctr"/>
        <c:lblOffset val="100"/>
      </c:catAx>
      <c:valAx>
        <c:axId val="125149568"/>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Percentage of Population</a:t>
                </a:r>
              </a:p>
            </c:rich>
          </c:tx>
          <c:spPr>
            <a:noFill/>
            <a:ln>
              <a:noFill/>
            </a:ln>
            <a:effectLst/>
          </c:spPr>
        </c:title>
        <c:numFmt formatCode="0%" sourceLinked="1"/>
        <c:maj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25139584"/>
        <c:crosses val="autoZero"/>
        <c:crossBetween val="between"/>
      </c:valAx>
      <c:spPr>
        <a:noFill/>
        <a:ln>
          <a:noFill/>
        </a:ln>
        <a:effectLst/>
      </c:spPr>
    </c:plotArea>
    <c:legend>
      <c:legendPos val="b"/>
      <c:layout>
        <c:manualLayout>
          <c:xMode val="edge"/>
          <c:yMode val="edge"/>
          <c:x val="0.24723930218781839"/>
          <c:y val="0.85402015307527146"/>
          <c:w val="0.47861928501540868"/>
          <c:h val="0.11552988755782959"/>
        </c:manualLayout>
      </c:layout>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800">
          <a:latin typeface="Arial" panose="020B0604020202020204" pitchFamily="34" charset="0"/>
          <a:cs typeface="Arial" panose="020B0604020202020204" pitchFamily="34" charset="0"/>
        </a:defRPr>
      </a:pPr>
      <a:endParaRPr lang="en-US"/>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GB"/>
  <c:chart>
    <c:autoTitleDeleted val="1"/>
    <c:plotArea>
      <c:layout/>
      <c:barChart>
        <c:barDir val="col"/>
        <c:grouping val="percentStacked"/>
        <c:ser>
          <c:idx val="0"/>
          <c:order val="0"/>
          <c:tx>
            <c:strRef>
              <c:f>'Type &amp; Size'!$B$251</c:f>
              <c:strCache>
                <c:ptCount val="1"/>
                <c:pt idx="0">
                  <c:v>1 bedroom</c:v>
                </c:pt>
              </c:strCache>
            </c:strRef>
          </c:tx>
          <c:spPr>
            <a:solidFill>
              <a:srgbClr val="00B5E5"/>
            </a:solidFill>
            <a:ln>
              <a:solidFill>
                <a:schemeClr val="bg1"/>
              </a:solidFill>
            </a:ln>
            <a:effectLst/>
          </c:spPr>
          <c:cat>
            <c:strRef>
              <c:f>'Type &amp; Size'!$C$250:$P$250</c:f>
              <c:strCache>
                <c:ptCount val="14"/>
                <c:pt idx="0">
                  <c:v>Age 16 to 24</c:v>
                </c:pt>
                <c:pt idx="1">
                  <c:v>Age 25 to 29</c:v>
                </c:pt>
                <c:pt idx="2">
                  <c:v>Age 30 to 34</c:v>
                </c:pt>
                <c:pt idx="3">
                  <c:v>Age 35 to 39</c:v>
                </c:pt>
                <c:pt idx="4">
                  <c:v>Age 40 to 44</c:v>
                </c:pt>
                <c:pt idx="5">
                  <c:v>Age 45 to 49</c:v>
                </c:pt>
                <c:pt idx="6">
                  <c:v>Age 50 to 54</c:v>
                </c:pt>
                <c:pt idx="7">
                  <c:v>Age 55 to 59</c:v>
                </c:pt>
                <c:pt idx="8">
                  <c:v>Age 60 to 64</c:v>
                </c:pt>
                <c:pt idx="9">
                  <c:v>Age 65 to 69</c:v>
                </c:pt>
                <c:pt idx="10">
                  <c:v>Age 70 to 74</c:v>
                </c:pt>
                <c:pt idx="11">
                  <c:v>Age 75 to 79</c:v>
                </c:pt>
                <c:pt idx="12">
                  <c:v>Age 80 to 84</c:v>
                </c:pt>
                <c:pt idx="13">
                  <c:v>Age 85 or over</c:v>
                </c:pt>
              </c:strCache>
            </c:strRef>
          </c:cat>
          <c:val>
            <c:numRef>
              <c:f>'Type &amp; Size'!$C$251:$P$251</c:f>
              <c:numCache>
                <c:formatCode>#,##0</c:formatCode>
                <c:ptCount val="14"/>
                <c:pt idx="0">
                  <c:v>148</c:v>
                </c:pt>
                <c:pt idx="1">
                  <c:v>208</c:v>
                </c:pt>
                <c:pt idx="2">
                  <c:v>182</c:v>
                </c:pt>
                <c:pt idx="3">
                  <c:v>170</c:v>
                </c:pt>
                <c:pt idx="4">
                  <c:v>177</c:v>
                </c:pt>
                <c:pt idx="5">
                  <c:v>193</c:v>
                </c:pt>
                <c:pt idx="6">
                  <c:v>156</c:v>
                </c:pt>
                <c:pt idx="7">
                  <c:v>149</c:v>
                </c:pt>
                <c:pt idx="8">
                  <c:v>205</c:v>
                </c:pt>
                <c:pt idx="9">
                  <c:v>207</c:v>
                </c:pt>
                <c:pt idx="10">
                  <c:v>172</c:v>
                </c:pt>
                <c:pt idx="11">
                  <c:v>196</c:v>
                </c:pt>
                <c:pt idx="12">
                  <c:v>209</c:v>
                </c:pt>
                <c:pt idx="13">
                  <c:v>319</c:v>
                </c:pt>
              </c:numCache>
            </c:numRef>
          </c:val>
          <c:extLst xmlns:c16r2="http://schemas.microsoft.com/office/drawing/2015/06/chart">
            <c:ext xmlns:c16="http://schemas.microsoft.com/office/drawing/2014/chart" uri="{C3380CC4-5D6E-409C-BE32-E72D297353CC}">
              <c16:uniqueId val="{00000000-B25E-4C85-8627-4DDBBC76E607}"/>
            </c:ext>
          </c:extLst>
        </c:ser>
        <c:ser>
          <c:idx val="1"/>
          <c:order val="1"/>
          <c:tx>
            <c:strRef>
              <c:f>'Type &amp; Size'!$B$252</c:f>
              <c:strCache>
                <c:ptCount val="1"/>
                <c:pt idx="0">
                  <c:v>2 bedrooms</c:v>
                </c:pt>
              </c:strCache>
            </c:strRef>
          </c:tx>
          <c:spPr>
            <a:solidFill>
              <a:srgbClr val="7FBB42"/>
            </a:solidFill>
            <a:ln>
              <a:solidFill>
                <a:schemeClr val="bg1"/>
              </a:solidFill>
            </a:ln>
            <a:effectLst/>
          </c:spPr>
          <c:cat>
            <c:strRef>
              <c:f>'Type &amp; Size'!$C$250:$P$250</c:f>
              <c:strCache>
                <c:ptCount val="14"/>
                <c:pt idx="0">
                  <c:v>Age 16 to 24</c:v>
                </c:pt>
                <c:pt idx="1">
                  <c:v>Age 25 to 29</c:v>
                </c:pt>
                <c:pt idx="2">
                  <c:v>Age 30 to 34</c:v>
                </c:pt>
                <c:pt idx="3">
                  <c:v>Age 35 to 39</c:v>
                </c:pt>
                <c:pt idx="4">
                  <c:v>Age 40 to 44</c:v>
                </c:pt>
                <c:pt idx="5">
                  <c:v>Age 45 to 49</c:v>
                </c:pt>
                <c:pt idx="6">
                  <c:v>Age 50 to 54</c:v>
                </c:pt>
                <c:pt idx="7">
                  <c:v>Age 55 to 59</c:v>
                </c:pt>
                <c:pt idx="8">
                  <c:v>Age 60 to 64</c:v>
                </c:pt>
                <c:pt idx="9">
                  <c:v>Age 65 to 69</c:v>
                </c:pt>
                <c:pt idx="10">
                  <c:v>Age 70 to 74</c:v>
                </c:pt>
                <c:pt idx="11">
                  <c:v>Age 75 to 79</c:v>
                </c:pt>
                <c:pt idx="12">
                  <c:v>Age 80 to 84</c:v>
                </c:pt>
                <c:pt idx="13">
                  <c:v>Age 85 or over</c:v>
                </c:pt>
              </c:strCache>
            </c:strRef>
          </c:cat>
          <c:val>
            <c:numRef>
              <c:f>'Type &amp; Size'!$C$252:$P$252</c:f>
              <c:numCache>
                <c:formatCode>#,##0</c:formatCode>
                <c:ptCount val="14"/>
                <c:pt idx="0">
                  <c:v>449</c:v>
                </c:pt>
                <c:pt idx="1">
                  <c:v>802</c:v>
                </c:pt>
                <c:pt idx="2">
                  <c:v>890</c:v>
                </c:pt>
                <c:pt idx="3">
                  <c:v>788</c:v>
                </c:pt>
                <c:pt idx="4">
                  <c:v>799</c:v>
                </c:pt>
                <c:pt idx="5">
                  <c:v>917</c:v>
                </c:pt>
                <c:pt idx="6">
                  <c:v>874</c:v>
                </c:pt>
                <c:pt idx="7">
                  <c:v>855</c:v>
                </c:pt>
                <c:pt idx="8">
                  <c:v>1199</c:v>
                </c:pt>
                <c:pt idx="9">
                  <c:v>1100</c:v>
                </c:pt>
                <c:pt idx="10">
                  <c:v>1161</c:v>
                </c:pt>
                <c:pt idx="11">
                  <c:v>1214</c:v>
                </c:pt>
                <c:pt idx="12">
                  <c:v>1109</c:v>
                </c:pt>
                <c:pt idx="13">
                  <c:v>1124</c:v>
                </c:pt>
              </c:numCache>
            </c:numRef>
          </c:val>
          <c:extLst xmlns:c16r2="http://schemas.microsoft.com/office/drawing/2015/06/chart">
            <c:ext xmlns:c16="http://schemas.microsoft.com/office/drawing/2014/chart" uri="{C3380CC4-5D6E-409C-BE32-E72D297353CC}">
              <c16:uniqueId val="{00000001-B25E-4C85-8627-4DDBBC76E607}"/>
            </c:ext>
          </c:extLst>
        </c:ser>
        <c:ser>
          <c:idx val="2"/>
          <c:order val="2"/>
          <c:tx>
            <c:strRef>
              <c:f>'Type &amp; Size'!$B$253</c:f>
              <c:strCache>
                <c:ptCount val="1"/>
                <c:pt idx="0">
                  <c:v>3 bedrooms</c:v>
                </c:pt>
              </c:strCache>
            </c:strRef>
          </c:tx>
          <c:spPr>
            <a:solidFill>
              <a:srgbClr val="F68B1F"/>
            </a:solidFill>
            <a:ln>
              <a:solidFill>
                <a:schemeClr val="bg1"/>
              </a:solidFill>
            </a:ln>
            <a:effectLst/>
          </c:spPr>
          <c:cat>
            <c:strRef>
              <c:f>'Type &amp; Size'!$C$250:$P$250</c:f>
              <c:strCache>
                <c:ptCount val="14"/>
                <c:pt idx="0">
                  <c:v>Age 16 to 24</c:v>
                </c:pt>
                <c:pt idx="1">
                  <c:v>Age 25 to 29</c:v>
                </c:pt>
                <c:pt idx="2">
                  <c:v>Age 30 to 34</c:v>
                </c:pt>
                <c:pt idx="3">
                  <c:v>Age 35 to 39</c:v>
                </c:pt>
                <c:pt idx="4">
                  <c:v>Age 40 to 44</c:v>
                </c:pt>
                <c:pt idx="5">
                  <c:v>Age 45 to 49</c:v>
                </c:pt>
                <c:pt idx="6">
                  <c:v>Age 50 to 54</c:v>
                </c:pt>
                <c:pt idx="7">
                  <c:v>Age 55 to 59</c:v>
                </c:pt>
                <c:pt idx="8">
                  <c:v>Age 60 to 64</c:v>
                </c:pt>
                <c:pt idx="9">
                  <c:v>Age 65 to 69</c:v>
                </c:pt>
                <c:pt idx="10">
                  <c:v>Age 70 to 74</c:v>
                </c:pt>
                <c:pt idx="11">
                  <c:v>Age 75 to 79</c:v>
                </c:pt>
                <c:pt idx="12">
                  <c:v>Age 80 to 84</c:v>
                </c:pt>
                <c:pt idx="13">
                  <c:v>Age 85 or over</c:v>
                </c:pt>
              </c:strCache>
            </c:strRef>
          </c:cat>
          <c:val>
            <c:numRef>
              <c:f>'Type &amp; Size'!$C$253:$P$253</c:f>
              <c:numCache>
                <c:formatCode>#,##0</c:formatCode>
                <c:ptCount val="14"/>
                <c:pt idx="0">
                  <c:v>189</c:v>
                </c:pt>
                <c:pt idx="1">
                  <c:v>715</c:v>
                </c:pt>
                <c:pt idx="2">
                  <c:v>1331</c:v>
                </c:pt>
                <c:pt idx="3">
                  <c:v>1952</c:v>
                </c:pt>
                <c:pt idx="4">
                  <c:v>2410</c:v>
                </c:pt>
                <c:pt idx="5">
                  <c:v>2554</c:v>
                </c:pt>
                <c:pt idx="6">
                  <c:v>2260</c:v>
                </c:pt>
                <c:pt idx="7">
                  <c:v>2193</c:v>
                </c:pt>
                <c:pt idx="8">
                  <c:v>2513</c:v>
                </c:pt>
                <c:pt idx="9">
                  <c:v>2115</c:v>
                </c:pt>
                <c:pt idx="10">
                  <c:v>1884</c:v>
                </c:pt>
                <c:pt idx="11">
                  <c:v>1696</c:v>
                </c:pt>
                <c:pt idx="12">
                  <c:v>1313</c:v>
                </c:pt>
                <c:pt idx="13">
                  <c:v>1008</c:v>
                </c:pt>
              </c:numCache>
            </c:numRef>
          </c:val>
          <c:extLst xmlns:c16r2="http://schemas.microsoft.com/office/drawing/2015/06/chart">
            <c:ext xmlns:c16="http://schemas.microsoft.com/office/drawing/2014/chart" uri="{C3380CC4-5D6E-409C-BE32-E72D297353CC}">
              <c16:uniqueId val="{00000002-B25E-4C85-8627-4DDBBC76E607}"/>
            </c:ext>
          </c:extLst>
        </c:ser>
        <c:ser>
          <c:idx val="3"/>
          <c:order val="3"/>
          <c:tx>
            <c:strRef>
              <c:f>'Type &amp; Size'!$B$254</c:f>
              <c:strCache>
                <c:ptCount val="1"/>
                <c:pt idx="0">
                  <c:v>4 bedrooms</c:v>
                </c:pt>
              </c:strCache>
            </c:strRef>
          </c:tx>
          <c:spPr>
            <a:solidFill>
              <a:srgbClr val="9E0880"/>
            </a:solidFill>
            <a:ln>
              <a:solidFill>
                <a:schemeClr val="bg1"/>
              </a:solidFill>
            </a:ln>
            <a:effectLst/>
          </c:spPr>
          <c:cat>
            <c:strRef>
              <c:f>'Type &amp; Size'!$C$250:$P$250</c:f>
              <c:strCache>
                <c:ptCount val="14"/>
                <c:pt idx="0">
                  <c:v>Age 16 to 24</c:v>
                </c:pt>
                <c:pt idx="1">
                  <c:v>Age 25 to 29</c:v>
                </c:pt>
                <c:pt idx="2">
                  <c:v>Age 30 to 34</c:v>
                </c:pt>
                <c:pt idx="3">
                  <c:v>Age 35 to 39</c:v>
                </c:pt>
                <c:pt idx="4">
                  <c:v>Age 40 to 44</c:v>
                </c:pt>
                <c:pt idx="5">
                  <c:v>Age 45 to 49</c:v>
                </c:pt>
                <c:pt idx="6">
                  <c:v>Age 50 to 54</c:v>
                </c:pt>
                <c:pt idx="7">
                  <c:v>Age 55 to 59</c:v>
                </c:pt>
                <c:pt idx="8">
                  <c:v>Age 60 to 64</c:v>
                </c:pt>
                <c:pt idx="9">
                  <c:v>Age 65 to 69</c:v>
                </c:pt>
                <c:pt idx="10">
                  <c:v>Age 70 to 74</c:v>
                </c:pt>
                <c:pt idx="11">
                  <c:v>Age 75 to 79</c:v>
                </c:pt>
                <c:pt idx="12">
                  <c:v>Age 80 to 84</c:v>
                </c:pt>
                <c:pt idx="13">
                  <c:v>Age 85 or over</c:v>
                </c:pt>
              </c:strCache>
            </c:strRef>
          </c:cat>
          <c:val>
            <c:numRef>
              <c:f>'Type &amp; Size'!$C$254:$P$254</c:f>
              <c:numCache>
                <c:formatCode>#,##0</c:formatCode>
                <c:ptCount val="14"/>
                <c:pt idx="0">
                  <c:v>41</c:v>
                </c:pt>
                <c:pt idx="1">
                  <c:v>113</c:v>
                </c:pt>
                <c:pt idx="2">
                  <c:v>434</c:v>
                </c:pt>
                <c:pt idx="3">
                  <c:v>915</c:v>
                </c:pt>
                <c:pt idx="4">
                  <c:v>1379</c:v>
                </c:pt>
                <c:pt idx="5">
                  <c:v>1551</c:v>
                </c:pt>
                <c:pt idx="6">
                  <c:v>1381</c:v>
                </c:pt>
                <c:pt idx="7">
                  <c:v>1235</c:v>
                </c:pt>
                <c:pt idx="8">
                  <c:v>1231</c:v>
                </c:pt>
                <c:pt idx="9">
                  <c:v>855</c:v>
                </c:pt>
                <c:pt idx="10">
                  <c:v>613</c:v>
                </c:pt>
                <c:pt idx="11">
                  <c:v>451</c:v>
                </c:pt>
                <c:pt idx="12">
                  <c:v>280</c:v>
                </c:pt>
                <c:pt idx="13">
                  <c:v>195</c:v>
                </c:pt>
              </c:numCache>
            </c:numRef>
          </c:val>
          <c:extLst xmlns:c16r2="http://schemas.microsoft.com/office/drawing/2015/06/chart">
            <c:ext xmlns:c16="http://schemas.microsoft.com/office/drawing/2014/chart" uri="{C3380CC4-5D6E-409C-BE32-E72D297353CC}">
              <c16:uniqueId val="{00000003-B25E-4C85-8627-4DDBBC76E607}"/>
            </c:ext>
          </c:extLst>
        </c:ser>
        <c:ser>
          <c:idx val="4"/>
          <c:order val="4"/>
          <c:tx>
            <c:strRef>
              <c:f>'Type &amp; Size'!$B$255</c:f>
              <c:strCache>
                <c:ptCount val="1"/>
                <c:pt idx="0">
                  <c:v>5 bedrooms</c:v>
                </c:pt>
              </c:strCache>
            </c:strRef>
          </c:tx>
          <c:spPr>
            <a:solidFill>
              <a:srgbClr val="FFDA09"/>
            </a:solidFill>
            <a:ln>
              <a:solidFill>
                <a:schemeClr val="bg1"/>
              </a:solidFill>
            </a:ln>
            <a:effectLst/>
          </c:spPr>
          <c:cat>
            <c:strRef>
              <c:f>'Type &amp; Size'!$C$250:$P$250</c:f>
              <c:strCache>
                <c:ptCount val="14"/>
                <c:pt idx="0">
                  <c:v>Age 16 to 24</c:v>
                </c:pt>
                <c:pt idx="1">
                  <c:v>Age 25 to 29</c:v>
                </c:pt>
                <c:pt idx="2">
                  <c:v>Age 30 to 34</c:v>
                </c:pt>
                <c:pt idx="3">
                  <c:v>Age 35 to 39</c:v>
                </c:pt>
                <c:pt idx="4">
                  <c:v>Age 40 to 44</c:v>
                </c:pt>
                <c:pt idx="5">
                  <c:v>Age 45 to 49</c:v>
                </c:pt>
                <c:pt idx="6">
                  <c:v>Age 50 to 54</c:v>
                </c:pt>
                <c:pt idx="7">
                  <c:v>Age 55 to 59</c:v>
                </c:pt>
                <c:pt idx="8">
                  <c:v>Age 60 to 64</c:v>
                </c:pt>
                <c:pt idx="9">
                  <c:v>Age 65 to 69</c:v>
                </c:pt>
                <c:pt idx="10">
                  <c:v>Age 70 to 74</c:v>
                </c:pt>
                <c:pt idx="11">
                  <c:v>Age 75 to 79</c:v>
                </c:pt>
                <c:pt idx="12">
                  <c:v>Age 80 to 84</c:v>
                </c:pt>
                <c:pt idx="13">
                  <c:v>Age 85 or over</c:v>
                </c:pt>
              </c:strCache>
            </c:strRef>
          </c:cat>
          <c:val>
            <c:numRef>
              <c:f>'Type &amp; Size'!$C$255:$P$255</c:f>
              <c:numCache>
                <c:formatCode>#,##0</c:formatCode>
                <c:ptCount val="14"/>
                <c:pt idx="0">
                  <c:v>6</c:v>
                </c:pt>
                <c:pt idx="1">
                  <c:v>31</c:v>
                </c:pt>
                <c:pt idx="2">
                  <c:v>68</c:v>
                </c:pt>
                <c:pt idx="3">
                  <c:v>162</c:v>
                </c:pt>
                <c:pt idx="4">
                  <c:v>266</c:v>
                </c:pt>
                <c:pt idx="5">
                  <c:v>331</c:v>
                </c:pt>
                <c:pt idx="6">
                  <c:v>310</c:v>
                </c:pt>
                <c:pt idx="7">
                  <c:v>255</c:v>
                </c:pt>
                <c:pt idx="8">
                  <c:v>245</c:v>
                </c:pt>
                <c:pt idx="9">
                  <c:v>139</c:v>
                </c:pt>
                <c:pt idx="10">
                  <c:v>97</c:v>
                </c:pt>
                <c:pt idx="11">
                  <c:v>51</c:v>
                </c:pt>
                <c:pt idx="12">
                  <c:v>44</c:v>
                </c:pt>
                <c:pt idx="13">
                  <c:v>39</c:v>
                </c:pt>
              </c:numCache>
            </c:numRef>
          </c:val>
          <c:extLst xmlns:c16r2="http://schemas.microsoft.com/office/drawing/2015/06/chart">
            <c:ext xmlns:c16="http://schemas.microsoft.com/office/drawing/2014/chart" uri="{C3380CC4-5D6E-409C-BE32-E72D297353CC}">
              <c16:uniqueId val="{00000004-B25E-4C85-8627-4DDBBC76E607}"/>
            </c:ext>
          </c:extLst>
        </c:ser>
        <c:ser>
          <c:idx val="5"/>
          <c:order val="5"/>
          <c:tx>
            <c:strRef>
              <c:f>'Type &amp; Size'!$B$256</c:f>
              <c:strCache>
                <c:ptCount val="1"/>
                <c:pt idx="0">
                  <c:v>6 or more bedrooms</c:v>
                </c:pt>
              </c:strCache>
            </c:strRef>
          </c:tx>
          <c:spPr>
            <a:solidFill>
              <a:schemeClr val="bg1">
                <a:lumMod val="65000"/>
              </a:schemeClr>
            </a:solidFill>
            <a:ln>
              <a:solidFill>
                <a:schemeClr val="bg1"/>
              </a:solidFill>
            </a:ln>
            <a:effectLst/>
          </c:spPr>
          <c:cat>
            <c:strRef>
              <c:f>'Type &amp; Size'!$C$250:$P$250</c:f>
              <c:strCache>
                <c:ptCount val="14"/>
                <c:pt idx="0">
                  <c:v>Age 16 to 24</c:v>
                </c:pt>
                <c:pt idx="1">
                  <c:v>Age 25 to 29</c:v>
                </c:pt>
                <c:pt idx="2">
                  <c:v>Age 30 to 34</c:v>
                </c:pt>
                <c:pt idx="3">
                  <c:v>Age 35 to 39</c:v>
                </c:pt>
                <c:pt idx="4">
                  <c:v>Age 40 to 44</c:v>
                </c:pt>
                <c:pt idx="5">
                  <c:v>Age 45 to 49</c:v>
                </c:pt>
                <c:pt idx="6">
                  <c:v>Age 50 to 54</c:v>
                </c:pt>
                <c:pt idx="7">
                  <c:v>Age 55 to 59</c:v>
                </c:pt>
                <c:pt idx="8">
                  <c:v>Age 60 to 64</c:v>
                </c:pt>
                <c:pt idx="9">
                  <c:v>Age 65 to 69</c:v>
                </c:pt>
                <c:pt idx="10">
                  <c:v>Age 70 to 74</c:v>
                </c:pt>
                <c:pt idx="11">
                  <c:v>Age 75 to 79</c:v>
                </c:pt>
                <c:pt idx="12">
                  <c:v>Age 80 to 84</c:v>
                </c:pt>
                <c:pt idx="13">
                  <c:v>Age 85 or over</c:v>
                </c:pt>
              </c:strCache>
            </c:strRef>
          </c:cat>
          <c:val>
            <c:numRef>
              <c:f>'Type &amp; Size'!$C$256:$P$256</c:f>
              <c:numCache>
                <c:formatCode>#,##0</c:formatCode>
                <c:ptCount val="14"/>
                <c:pt idx="0">
                  <c:v>2</c:v>
                </c:pt>
                <c:pt idx="1">
                  <c:v>1</c:v>
                </c:pt>
                <c:pt idx="2">
                  <c:v>8</c:v>
                </c:pt>
                <c:pt idx="3">
                  <c:v>28</c:v>
                </c:pt>
                <c:pt idx="4">
                  <c:v>62</c:v>
                </c:pt>
                <c:pt idx="5">
                  <c:v>91</c:v>
                </c:pt>
                <c:pt idx="6">
                  <c:v>58</c:v>
                </c:pt>
                <c:pt idx="7">
                  <c:v>64</c:v>
                </c:pt>
                <c:pt idx="8">
                  <c:v>72</c:v>
                </c:pt>
                <c:pt idx="9">
                  <c:v>47</c:v>
                </c:pt>
                <c:pt idx="10">
                  <c:v>28</c:v>
                </c:pt>
                <c:pt idx="11">
                  <c:v>23</c:v>
                </c:pt>
                <c:pt idx="12">
                  <c:v>12</c:v>
                </c:pt>
                <c:pt idx="13">
                  <c:v>12</c:v>
                </c:pt>
              </c:numCache>
            </c:numRef>
          </c:val>
          <c:extLst xmlns:c16r2="http://schemas.microsoft.com/office/drawing/2015/06/chart">
            <c:ext xmlns:c16="http://schemas.microsoft.com/office/drawing/2014/chart" uri="{C3380CC4-5D6E-409C-BE32-E72D297353CC}">
              <c16:uniqueId val="{00000005-B25E-4C85-8627-4DDBBC76E607}"/>
            </c:ext>
          </c:extLst>
        </c:ser>
        <c:overlap val="100"/>
        <c:axId val="125576320"/>
        <c:axId val="125577856"/>
      </c:barChart>
      <c:catAx>
        <c:axId val="12557632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25577856"/>
        <c:crosses val="autoZero"/>
        <c:auto val="1"/>
        <c:lblAlgn val="ctr"/>
        <c:lblOffset val="100"/>
      </c:catAx>
      <c:valAx>
        <c:axId val="125577856"/>
        <c:scaling>
          <c:orientation val="minMax"/>
        </c:scaling>
        <c:axPos val="l"/>
        <c:majorGridlines>
          <c:spPr>
            <a:ln w="9525" cap="flat" cmpd="sng" algn="ctr">
              <a:solidFill>
                <a:schemeClr val="tx1">
                  <a:lumMod val="15000"/>
                  <a:lumOff val="85000"/>
                </a:schemeClr>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2557632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800">
          <a:latin typeface="Arial" panose="020B0604020202020204" pitchFamily="34" charset="0"/>
          <a:cs typeface="Arial" panose="020B0604020202020204" pitchFamily="34" charset="0"/>
        </a:defRPr>
      </a:pPr>
      <a:endParaRPr lang="en-US"/>
    </a:p>
  </c:txPr>
  <c:externalData r:id="rId1"/>
</c:chartSpace>
</file>

<file path=word/theme/theme1.xml><?xml version="1.0" encoding="utf-8"?>
<a:theme xmlns:a="http://schemas.openxmlformats.org/drawingml/2006/main" name="Office Theme">
  <a:themeElements>
    <a:clrScheme name="AECOM">
      <a:dk1>
        <a:sysClr val="windowText" lastClr="000000"/>
      </a:dk1>
      <a:lt1>
        <a:sysClr val="window" lastClr="FFFFFF"/>
      </a:lt1>
      <a:dk2>
        <a:srgbClr val="000000"/>
      </a:dk2>
      <a:lt2>
        <a:srgbClr val="FFFFFF"/>
      </a:lt2>
      <a:accent1>
        <a:srgbClr val="00B5E2"/>
      </a:accent1>
      <a:accent2>
        <a:srgbClr val="84BD00"/>
      </a:accent2>
      <a:accent3>
        <a:srgbClr val="F68B1F"/>
      </a:accent3>
      <a:accent4>
        <a:srgbClr val="9E007E"/>
      </a:accent4>
      <a:accent5>
        <a:srgbClr val="FFE512"/>
      </a:accent5>
      <a:accent6>
        <a:srgbClr val="8C8279"/>
      </a:accent6>
      <a:hlink>
        <a:srgbClr val="63C1DF"/>
      </a:hlink>
      <a:folHlink>
        <a:srgbClr val="9C0880"/>
      </a:folHlink>
    </a:clrScheme>
    <a:fontScheme name="AECOM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938838-D0C4-4BD6-8E90-AF85E6085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AECOM_Report</Template>
  <TotalTime>51</TotalTime>
  <Pages>1</Pages>
  <Words>20838</Words>
  <Characters>118779</Characters>
  <Application>Microsoft Office Word</Application>
  <DocSecurity>0</DocSecurity>
  <Lines>989</Lines>
  <Paragraphs>278</Paragraphs>
  <ScaleCrop>false</ScaleCrop>
  <HeadingPairs>
    <vt:vector size="2" baseType="variant">
      <vt:variant>
        <vt:lpstr>Title</vt:lpstr>
      </vt:variant>
      <vt:variant>
        <vt:i4>1</vt:i4>
      </vt:variant>
    </vt:vector>
  </HeadingPairs>
  <TitlesOfParts>
    <vt:vector size="1" baseType="lpstr">
      <vt:lpstr>Report HNA Template  2017-06-29</vt:lpstr>
    </vt:vector>
  </TitlesOfParts>
  <Company>AECOM Limited</Company>
  <LinksUpToDate>false</LinksUpToDate>
  <CharactersWithSpaces>139339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HNA Template  2017-06-29</dc:title>
  <dc:creator>Corbin, Thomas</dc:creator>
  <cp:keywords>Project ref:   Project number:</cp:keywords>
  <cp:lastModifiedBy>Claudia Dickson</cp:lastModifiedBy>
  <cp:revision>4</cp:revision>
  <cp:lastPrinted>2018-03-19T09:05:00Z</cp:lastPrinted>
  <dcterms:created xsi:type="dcterms:W3CDTF">2020-02-20T09:37:00Z</dcterms:created>
  <dcterms:modified xsi:type="dcterms:W3CDTF">2020-02-20T10:28:00Z</dcterms:modified>
  <cp:category>Report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t:lpwstr>AECOM_Report</vt:lpwstr>
  </property>
  <property fmtid="{D5CDD505-2E9C-101B-9397-08002B2CF9AE}" pid="3" name="TemplateVersion">
    <vt:lpwstr>1.7</vt:lpwstr>
  </property>
  <property fmtid="{D5CDD505-2E9C-101B-9397-08002B2CF9AE}" pid="4" name="HeaderTitle">
    <vt:lpwstr>HNA Template </vt:lpwstr>
  </property>
  <property fmtid="{D5CDD505-2E9C-101B-9397-08002B2CF9AE}" pid="5" name="ProtectiveMarking">
    <vt:lpwstr/>
  </property>
  <property fmtid="{D5CDD505-2E9C-101B-9397-08002B2CF9AE}" pid="6" name="HeaderClient">
    <vt:lpwstr> </vt:lpwstr>
  </property>
  <property fmtid="{D5CDD505-2E9C-101B-9397-08002B2CF9AE}" pid="7" name="AdditionalCompanyName">
    <vt:lpwstr/>
  </property>
  <property fmtid="{D5CDD505-2E9C-101B-9397-08002B2CF9AE}" pid="8" name="ClientName">
    <vt:lpwstr/>
  </property>
  <property fmtid="{D5CDD505-2E9C-101B-9397-08002B2CF9AE}" pid="9" name="TenderStage">
    <vt:lpwstr/>
  </property>
  <property fmtid="{D5CDD505-2E9C-101B-9397-08002B2CF9AE}" pid="10" name="ProjectRef">
    <vt:lpwstr> </vt:lpwstr>
  </property>
  <property fmtid="{D5CDD505-2E9C-101B-9397-08002B2CF9AE}" pid="11" name="ProjectNumber">
    <vt:lpwstr> </vt:lpwstr>
  </property>
  <property fmtid="{D5CDD505-2E9C-101B-9397-08002B2CF9AE}" pid="12" name="CopyNo">
    <vt:lpwstr>&lt;CopyNo&gt;</vt:lpwstr>
  </property>
  <property fmtid="{D5CDD505-2E9C-101B-9397-08002B2CF9AE}" pid="13" name="CopyNoTotal">
    <vt:lpwstr>&lt;CopyNoTotal&gt;</vt:lpwstr>
  </property>
  <property fmtid="{D5CDD505-2E9C-101B-9397-08002B2CF9AE}" pid="14" name="SupplementaryTitle">
    <vt:lpwstr/>
  </property>
  <property fmtid="{D5CDD505-2E9C-101B-9397-08002B2CF9AE}" pid="15" name="Subtitle">
    <vt:lpwstr/>
  </property>
  <property fmtid="{D5CDD505-2E9C-101B-9397-08002B2CF9AE}" pid="16" name="DocumentReference">
    <vt:lpwstr/>
  </property>
  <property fmtid="{D5CDD505-2E9C-101B-9397-08002B2CF9AE}" pid="17" name="Date">
    <vt:lpwstr>June 2017</vt:lpwstr>
  </property>
  <property fmtid="{D5CDD505-2E9C-101B-9397-08002B2CF9AE}" pid="18" name="Copies">
    <vt:lpwstr/>
  </property>
  <property fmtid="{D5CDD505-2E9C-101B-9397-08002B2CF9AE}" pid="19" name="ProjectRefSlash">
    <vt:lpwstr> / </vt:lpwstr>
  </property>
  <property fmtid="{D5CDD505-2E9C-101B-9397-08002B2CF9AE}" pid="20" name="DocumentTitle">
    <vt:lpwstr>HNA Template </vt:lpwstr>
  </property>
  <property fmtid="{D5CDD505-2E9C-101B-9397-08002B2CF9AE}" pid="21" name="FooterClientAddress">
    <vt:lpwstr/>
  </property>
  <property fmtid="{D5CDD505-2E9C-101B-9397-08002B2CF9AE}" pid="22" name="ClientNumber">
    <vt:lpwstr> </vt:lpwstr>
  </property>
  <property fmtid="{D5CDD505-2E9C-101B-9397-08002B2CF9AE}" pid="23" name="Draft">
    <vt:lpwstr>DRAFT</vt:lpwstr>
  </property>
  <property fmtid="{D5CDD505-2E9C-101B-9397-08002B2CF9AE}" pid="24" name="AccreditationText">
    <vt:lpwstr/>
  </property>
  <property fmtid="{D5CDD505-2E9C-101B-9397-08002B2CF9AE}" pid="25" name="GreenInitiative">
    <vt:lpwstr/>
  </property>
  <property fmtid="{D5CDD505-2E9C-101B-9397-08002B2CF9AE}" pid="26" name="PreparedBy">
    <vt:lpwstr>&lt;PreparedBy&gt;</vt:lpwstr>
  </property>
  <property fmtid="{D5CDD505-2E9C-101B-9397-08002B2CF9AE}" pid="27" name="ShowFilePath">
    <vt:lpwstr>0</vt:lpwstr>
  </property>
  <property fmtid="{D5CDD505-2E9C-101B-9397-08002B2CF9AE}" pid="28" name="PreparedFor">
    <vt:lpwstr> </vt:lpwstr>
  </property>
  <property fmtid="{D5CDD505-2E9C-101B-9397-08002B2CF9AE}" pid="29" name="InAssociationWith">
    <vt:lpwstr> </vt:lpwstr>
  </property>
  <property fmtid="{D5CDD505-2E9C-101B-9397-08002B2CF9AE}" pid="30" name="ShowFileName">
    <vt:lpwstr>0</vt:lpwstr>
  </property>
</Properties>
</file>